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56" w:type="dxa"/>
          <w:right w:w="56" w:type="dxa"/>
        </w:tblCellMar>
        <w:tblLook w:val="0000" w:firstRow="0" w:lastRow="0" w:firstColumn="0" w:lastColumn="0" w:noHBand="0" w:noVBand="0"/>
      </w:tblPr>
      <w:tblGrid>
        <w:gridCol w:w="3582"/>
        <w:gridCol w:w="6027"/>
      </w:tblGrid>
      <w:tr w:rsidR="00232709" w:rsidRPr="000C7CA3" w14:paraId="5913A439" w14:textId="77777777" w:rsidTr="008D0E23">
        <w:trPr>
          <w:trHeight w:val="1361"/>
          <w:jc w:val="center"/>
        </w:trPr>
        <w:tc>
          <w:tcPr>
            <w:tcW w:w="3686" w:type="dxa"/>
            <w:gridSpan w:val="2"/>
            <w:tcMar>
              <w:top w:w="28" w:type="dxa"/>
              <w:left w:w="57" w:type="dxa"/>
              <w:bottom w:w="28" w:type="dxa"/>
              <w:right w:w="57" w:type="dxa"/>
            </w:tcMar>
            <w:vAlign w:val="center"/>
          </w:tcPr>
          <w:p w14:paraId="44B5CB3E" w14:textId="77777777" w:rsidR="00232709" w:rsidRPr="000C7CA3" w:rsidRDefault="008C170F" w:rsidP="005479C2">
            <w:pPr>
              <w:spacing w:before="240"/>
              <w:ind w:left="1077"/>
              <w:jc w:val="center"/>
              <w:rPr>
                <w:rFonts w:cs="Arial"/>
                <w:b/>
              </w:rPr>
            </w:pPr>
            <w:bookmarkStart w:id="0" w:name="_Toc47755540"/>
            <w:r>
              <w:rPr>
                <w:noProof/>
                <w:lang w:val="en-US" w:eastAsia="en-US"/>
              </w:rPr>
              <w:drawing>
                <wp:anchor distT="0" distB="0" distL="114300" distR="114300" simplePos="0" relativeHeight="251656704" behindDoc="1" locked="0" layoutInCell="1" allowOverlap="0" wp14:anchorId="5E8EFACD" wp14:editId="2E38665D">
                  <wp:simplePos x="0" y="0"/>
                  <wp:positionH relativeFrom="column">
                    <wp:posOffset>69215</wp:posOffset>
                  </wp:positionH>
                  <wp:positionV relativeFrom="paragraph">
                    <wp:posOffset>90805</wp:posOffset>
                  </wp:positionV>
                  <wp:extent cx="572135" cy="45783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72135" cy="457835"/>
                          </a:xfrm>
                          <a:prstGeom prst="rect">
                            <a:avLst/>
                          </a:prstGeom>
                          <a:noFill/>
                          <a:ln>
                            <a:noFill/>
                          </a:ln>
                        </pic:spPr>
                      </pic:pic>
                    </a:graphicData>
                  </a:graphic>
                </wp:anchor>
              </w:drawing>
            </w:r>
            <w:r w:rsidR="009E02AC">
              <w:rPr>
                <w:rFonts w:cs="Arial"/>
                <w:b/>
                <w:lang w:val="en-US"/>
              </w:rPr>
              <w:t>Voluntary</w:t>
            </w:r>
            <w:r w:rsidR="00232709" w:rsidRPr="000C7CA3">
              <w:rPr>
                <w:rFonts w:cs="Arial"/>
                <w:b/>
                <w:lang w:val="en-US"/>
              </w:rPr>
              <w:t xml:space="preserve"> project activity design document form</w:t>
            </w:r>
          </w:p>
          <w:p w14:paraId="0D42DC8C" w14:textId="77777777" w:rsidR="00232709" w:rsidRPr="000C7CA3" w:rsidRDefault="00FD3A83" w:rsidP="00F34711">
            <w:pPr>
              <w:spacing w:before="120" w:after="120"/>
              <w:ind w:left="1077"/>
              <w:jc w:val="center"/>
              <w:rPr>
                <w:rFonts w:cs="Arial"/>
                <w:b/>
              </w:rPr>
            </w:pPr>
            <w:r>
              <w:rPr>
                <w:rFonts w:cs="Arial"/>
                <w:b/>
              </w:rPr>
              <w:t>(Version 0</w:t>
            </w:r>
            <w:r w:rsidR="008A722F">
              <w:rPr>
                <w:rFonts w:cs="Arial"/>
                <w:b/>
              </w:rPr>
              <w:t>8</w:t>
            </w:r>
            <w:r w:rsidR="002C1670">
              <w:rPr>
                <w:rFonts w:cs="Arial"/>
                <w:b/>
              </w:rPr>
              <w:t>.0</w:t>
            </w:r>
            <w:r w:rsidR="00232709" w:rsidRPr="000C7CA3">
              <w:rPr>
                <w:rFonts w:cs="Arial"/>
                <w:b/>
              </w:rPr>
              <w:t>)</w:t>
            </w:r>
          </w:p>
        </w:tc>
      </w:tr>
      <w:tr w:rsidR="00232709" w:rsidRPr="000C7CA3" w14:paraId="6FA2D1F6" w14:textId="77777777" w:rsidTr="0089085E">
        <w:tblPrEx>
          <w:tblCellMar>
            <w:left w:w="28" w:type="dxa"/>
            <w:right w:w="28" w:type="dxa"/>
          </w:tblCellMar>
        </w:tblPrEx>
        <w:trPr>
          <w:trHeight w:val="348"/>
          <w:jc w:val="center"/>
        </w:trPr>
        <w:tc>
          <w:tcPr>
            <w:tcW w:w="3686" w:type="dxa"/>
            <w:gridSpan w:val="2"/>
            <w:tcBorders>
              <w:bottom w:val="single" w:sz="4" w:space="0" w:color="auto"/>
            </w:tcBorders>
            <w:shd w:val="clear" w:color="auto" w:fill="auto"/>
            <w:tcMar>
              <w:top w:w="28" w:type="dxa"/>
              <w:left w:w="57" w:type="dxa"/>
              <w:bottom w:w="28" w:type="dxa"/>
              <w:right w:w="57" w:type="dxa"/>
            </w:tcMar>
            <w:vAlign w:val="center"/>
          </w:tcPr>
          <w:p w14:paraId="619015D7" w14:textId="77777777" w:rsidR="00232709" w:rsidRPr="000C7CA3" w:rsidRDefault="00232709" w:rsidP="007374CE">
            <w:pPr>
              <w:tabs>
                <w:tab w:val="left" w:pos="510"/>
              </w:tabs>
              <w:spacing w:before="60" w:after="60"/>
              <w:rPr>
                <w:rFonts w:cs="Arial"/>
                <w:i/>
                <w:sz w:val="20"/>
                <w:szCs w:val="18"/>
              </w:rPr>
            </w:pPr>
            <w:r w:rsidRPr="000C7CA3">
              <w:rPr>
                <w:rFonts w:cs="Arial"/>
                <w:i/>
                <w:sz w:val="20"/>
                <w:szCs w:val="18"/>
              </w:rPr>
              <w:t xml:space="preserve">Complete this form in accordance with the </w:t>
            </w:r>
            <w:r w:rsidR="00004BD2">
              <w:rPr>
                <w:rFonts w:cs="Arial"/>
                <w:i/>
                <w:sz w:val="20"/>
                <w:szCs w:val="18"/>
              </w:rPr>
              <w:t>i</w:t>
            </w:r>
            <w:r w:rsidRPr="000C7CA3">
              <w:rPr>
                <w:rFonts w:cs="Arial"/>
                <w:i/>
                <w:sz w:val="20"/>
                <w:szCs w:val="18"/>
              </w:rPr>
              <w:t>nstructions</w:t>
            </w:r>
            <w:r w:rsidR="00004BD2">
              <w:rPr>
                <w:rFonts w:cs="Arial"/>
                <w:i/>
                <w:sz w:val="20"/>
                <w:szCs w:val="18"/>
              </w:rPr>
              <w:t xml:space="preserve"> attached</w:t>
            </w:r>
            <w:r w:rsidRPr="000C7CA3">
              <w:rPr>
                <w:rFonts w:cs="Arial"/>
                <w:i/>
                <w:sz w:val="20"/>
                <w:szCs w:val="18"/>
              </w:rPr>
              <w:t xml:space="preserve"> at the end of this form.</w:t>
            </w:r>
          </w:p>
        </w:tc>
      </w:tr>
      <w:tr w:rsidR="00232709" w:rsidRPr="000C7CA3" w14:paraId="2D1CF59E" w14:textId="77777777" w:rsidTr="0089085E">
        <w:tblPrEx>
          <w:tblCellMar>
            <w:left w:w="28" w:type="dxa"/>
            <w:right w:w="28" w:type="dxa"/>
          </w:tblCellMar>
        </w:tblPrEx>
        <w:trPr>
          <w:trHeight w:val="454"/>
          <w:jc w:val="center"/>
        </w:trPr>
        <w:tc>
          <w:tcPr>
            <w:tcW w:w="3686" w:type="dxa"/>
            <w:gridSpan w:val="2"/>
            <w:tcBorders>
              <w:top w:val="single" w:sz="4" w:space="0" w:color="auto"/>
              <w:bottom w:val="single" w:sz="4" w:space="0" w:color="auto"/>
            </w:tcBorders>
            <w:shd w:val="clear" w:color="auto" w:fill="CCCCCC"/>
            <w:tcMar>
              <w:top w:w="28" w:type="dxa"/>
              <w:left w:w="57" w:type="dxa"/>
              <w:bottom w:w="28" w:type="dxa"/>
              <w:right w:w="57" w:type="dxa"/>
            </w:tcMar>
          </w:tcPr>
          <w:p w14:paraId="545DCA0B" w14:textId="77777777" w:rsidR="00232709" w:rsidRPr="000C7CA3" w:rsidRDefault="00004BD2" w:rsidP="00F464AA">
            <w:pPr>
              <w:keepNext/>
              <w:spacing w:before="120" w:after="120"/>
              <w:jc w:val="center"/>
              <w:rPr>
                <w:rFonts w:cs="Arial"/>
                <w:b/>
                <w:bCs/>
                <w:smallCaps/>
                <w:sz w:val="20"/>
              </w:rPr>
            </w:pPr>
            <w:r>
              <w:rPr>
                <w:rFonts w:cs="Arial"/>
                <w:b/>
                <w:bCs/>
                <w:smallCaps/>
                <w:sz w:val="20"/>
              </w:rPr>
              <w:t>B</w:t>
            </w:r>
            <w:r w:rsidR="009952CC">
              <w:rPr>
                <w:rFonts w:cs="Arial"/>
                <w:b/>
                <w:bCs/>
                <w:smallCaps/>
                <w:sz w:val="20"/>
              </w:rPr>
              <w:t>ASIC INFORMATION</w:t>
            </w:r>
          </w:p>
        </w:tc>
      </w:tr>
      <w:tr w:rsidR="00232709" w:rsidRPr="000C7CA3" w14:paraId="5A418A4F" w14:textId="77777777" w:rsidTr="00A01CE1">
        <w:tblPrEx>
          <w:tblCellMar>
            <w:left w:w="28" w:type="dxa"/>
            <w:right w:w="28" w:type="dxa"/>
          </w:tblCellMar>
        </w:tblPrEx>
        <w:trPr>
          <w:trHeight w:val="348"/>
          <w:jc w:val="center"/>
        </w:trPr>
        <w:tc>
          <w:tcPr>
            <w:tcW w:w="3686" w:type="dxa"/>
            <w:tcBorders>
              <w:top w:val="single" w:sz="4" w:space="0" w:color="auto"/>
              <w:bottom w:val="single" w:sz="4" w:space="0" w:color="auto"/>
            </w:tcBorders>
            <w:shd w:val="clear" w:color="auto" w:fill="D9D9D9"/>
            <w:tcMar>
              <w:top w:w="28" w:type="dxa"/>
              <w:left w:w="57" w:type="dxa"/>
              <w:bottom w:w="28" w:type="dxa"/>
              <w:right w:w="57" w:type="dxa"/>
            </w:tcMar>
            <w:vAlign w:val="center"/>
          </w:tcPr>
          <w:p w14:paraId="4B077E46" w14:textId="77777777" w:rsidR="00232709" w:rsidRPr="007374CE" w:rsidRDefault="00232709" w:rsidP="0089085E">
            <w:pPr>
              <w:spacing w:before="120" w:after="120"/>
              <w:jc w:val="left"/>
              <w:rPr>
                <w:rFonts w:cs="Arial"/>
                <w:b/>
                <w:sz w:val="20"/>
              </w:rPr>
            </w:pPr>
            <w:r w:rsidRPr="007374CE">
              <w:rPr>
                <w:rFonts w:cs="Arial"/>
                <w:b/>
                <w:sz w:val="20"/>
              </w:rPr>
              <w:t xml:space="preserve">Title of the </w:t>
            </w:r>
            <w:r w:rsidR="006C4F9A">
              <w:rPr>
                <w:rFonts w:cs="Arial"/>
                <w:b/>
                <w:sz w:val="20"/>
              </w:rPr>
              <w:t>VPA</w:t>
            </w:r>
          </w:p>
        </w:tc>
        <w:tc>
          <w:tcPr>
            <w:tcW w:w="6204" w:type="dxa"/>
            <w:tcBorders>
              <w:bottom w:val="single" w:sz="4" w:space="0" w:color="auto"/>
            </w:tcBorders>
            <w:tcMar>
              <w:top w:w="28" w:type="dxa"/>
              <w:left w:w="57" w:type="dxa"/>
              <w:bottom w:w="28" w:type="dxa"/>
              <w:right w:w="57" w:type="dxa"/>
            </w:tcMar>
            <w:vAlign w:val="center"/>
          </w:tcPr>
          <w:p w14:paraId="79840F07" w14:textId="77777777" w:rsidR="00232709" w:rsidRPr="003750E0" w:rsidRDefault="003750E0" w:rsidP="00F464AA">
            <w:pPr>
              <w:spacing w:before="120"/>
              <w:ind w:left="57"/>
              <w:rPr>
                <w:rFonts w:cs="Arial"/>
                <w:sz w:val="20"/>
                <w:szCs w:val="18"/>
              </w:rPr>
            </w:pPr>
            <w:r w:rsidRPr="003750E0">
              <w:rPr>
                <w:iCs/>
                <w:sz w:val="20"/>
              </w:rPr>
              <w:t>GS5801 African Biogas Carbon Programme (ABC) - Kenya - VPA006</w:t>
            </w:r>
          </w:p>
        </w:tc>
      </w:tr>
      <w:tr w:rsidR="00E31949" w:rsidRPr="000C7CA3" w14:paraId="102A11AA" w14:textId="77777777" w:rsidTr="00A01CE1">
        <w:tblPrEx>
          <w:tblCellMar>
            <w:left w:w="28" w:type="dxa"/>
            <w:right w:w="28" w:type="dxa"/>
          </w:tblCellMar>
        </w:tblPrEx>
        <w:trPr>
          <w:trHeight w:val="569"/>
          <w:jc w:val="center"/>
        </w:trPr>
        <w:tc>
          <w:tcPr>
            <w:tcW w:w="3686" w:type="dxa"/>
            <w:tcBorders>
              <w:top w:val="single" w:sz="4" w:space="0" w:color="auto"/>
              <w:bottom w:val="single" w:sz="4" w:space="0" w:color="auto"/>
            </w:tcBorders>
            <w:shd w:val="clear" w:color="auto" w:fill="D9D9D9"/>
            <w:tcMar>
              <w:top w:w="28" w:type="dxa"/>
              <w:left w:w="57" w:type="dxa"/>
              <w:bottom w:w="28" w:type="dxa"/>
              <w:right w:w="57" w:type="dxa"/>
            </w:tcMar>
            <w:vAlign w:val="center"/>
          </w:tcPr>
          <w:p w14:paraId="1F63E1D3" w14:textId="77777777" w:rsidR="00E31949" w:rsidRPr="007374CE" w:rsidRDefault="00E31949" w:rsidP="0089085E">
            <w:pPr>
              <w:spacing w:before="120" w:after="120"/>
              <w:jc w:val="left"/>
              <w:rPr>
                <w:rFonts w:cs="Arial"/>
                <w:b/>
                <w:sz w:val="20"/>
              </w:rPr>
            </w:pPr>
            <w:r w:rsidRPr="007374CE">
              <w:rPr>
                <w:rFonts w:cs="Arial"/>
                <w:b/>
                <w:sz w:val="20"/>
              </w:rPr>
              <w:t xml:space="preserve">Scale of the </w:t>
            </w:r>
            <w:r w:rsidR="006C4F9A">
              <w:rPr>
                <w:rFonts w:cs="Arial"/>
                <w:b/>
                <w:sz w:val="20"/>
              </w:rPr>
              <w:t>VPA</w:t>
            </w:r>
          </w:p>
        </w:tc>
        <w:tc>
          <w:tcPr>
            <w:tcW w:w="6204" w:type="dxa"/>
            <w:tcBorders>
              <w:bottom w:val="single" w:sz="4" w:space="0" w:color="auto"/>
            </w:tcBorders>
            <w:tcMar>
              <w:top w:w="28" w:type="dxa"/>
              <w:left w:w="57" w:type="dxa"/>
              <w:bottom w:w="28" w:type="dxa"/>
              <w:right w:w="57" w:type="dxa"/>
            </w:tcMar>
          </w:tcPr>
          <w:p w14:paraId="55DB2F6C" w14:textId="77777777" w:rsidR="00E31949" w:rsidRDefault="00386F9E" w:rsidP="00E31949">
            <w:pPr>
              <w:pStyle w:val="ParaTickBox"/>
            </w:pPr>
            <w:r>
              <w:fldChar w:fldCharType="begin">
                <w:ffData>
                  <w:name w:val="Check2"/>
                  <w:enabled/>
                  <w:calcOnExit w:val="0"/>
                  <w:checkBox>
                    <w:size w:val="24"/>
                    <w:default w:val="0"/>
                  </w:checkBox>
                </w:ffData>
              </w:fldChar>
            </w:r>
            <w:bookmarkStart w:id="1" w:name="Check2"/>
            <w:r w:rsidR="00E31949">
              <w:instrText xml:space="preserve"> FORMCHECKBOX </w:instrText>
            </w:r>
            <w:r w:rsidR="00B964EE">
              <w:fldChar w:fldCharType="separate"/>
            </w:r>
            <w:r>
              <w:fldChar w:fldCharType="end"/>
            </w:r>
            <w:bookmarkEnd w:id="1"/>
            <w:r w:rsidR="00E31949">
              <w:tab/>
              <w:t>Large-scale</w:t>
            </w:r>
          </w:p>
          <w:p w14:paraId="54B71EEB" w14:textId="77777777" w:rsidR="00E31949" w:rsidRPr="000C7CA3" w:rsidRDefault="00386F9E" w:rsidP="00E31949">
            <w:pPr>
              <w:pStyle w:val="ParaTickBox"/>
            </w:pPr>
            <w:r>
              <w:fldChar w:fldCharType="begin">
                <w:ffData>
                  <w:name w:val=""/>
                  <w:enabled/>
                  <w:calcOnExit w:val="0"/>
                  <w:checkBox>
                    <w:size w:val="24"/>
                    <w:default w:val="1"/>
                  </w:checkBox>
                </w:ffData>
              </w:fldChar>
            </w:r>
            <w:r w:rsidR="004D0FD4">
              <w:instrText xml:space="preserve"> FORMCHECKBOX </w:instrText>
            </w:r>
            <w:r w:rsidR="00B964EE">
              <w:fldChar w:fldCharType="separate"/>
            </w:r>
            <w:r>
              <w:fldChar w:fldCharType="end"/>
            </w:r>
            <w:r w:rsidR="00E31949">
              <w:tab/>
              <w:t>Small-scale</w:t>
            </w:r>
          </w:p>
        </w:tc>
      </w:tr>
      <w:tr w:rsidR="00E31949" w:rsidRPr="000C7CA3" w14:paraId="45DDD73B" w14:textId="77777777" w:rsidTr="00A01CE1">
        <w:tblPrEx>
          <w:tblCellMar>
            <w:left w:w="28" w:type="dxa"/>
            <w:right w:w="28" w:type="dxa"/>
          </w:tblCellMar>
        </w:tblPrEx>
        <w:trPr>
          <w:trHeight w:val="339"/>
          <w:jc w:val="center"/>
        </w:trPr>
        <w:tc>
          <w:tcPr>
            <w:tcW w:w="3686" w:type="dxa"/>
            <w:tcBorders>
              <w:top w:val="single" w:sz="4" w:space="0" w:color="auto"/>
              <w:bottom w:val="single" w:sz="4" w:space="0" w:color="auto"/>
            </w:tcBorders>
            <w:shd w:val="clear" w:color="auto" w:fill="D9D9D9"/>
            <w:tcMar>
              <w:top w:w="28" w:type="dxa"/>
              <w:left w:w="57" w:type="dxa"/>
              <w:bottom w:w="28" w:type="dxa"/>
              <w:right w:w="57" w:type="dxa"/>
            </w:tcMar>
            <w:vAlign w:val="center"/>
          </w:tcPr>
          <w:p w14:paraId="38F456A3" w14:textId="77777777" w:rsidR="00E31949" w:rsidRPr="007374CE" w:rsidRDefault="00E31949" w:rsidP="0089085E">
            <w:pPr>
              <w:spacing w:before="120" w:after="120"/>
              <w:jc w:val="left"/>
              <w:rPr>
                <w:rFonts w:cs="Arial"/>
                <w:b/>
                <w:sz w:val="20"/>
              </w:rPr>
            </w:pPr>
            <w:r w:rsidRPr="007374CE">
              <w:rPr>
                <w:rFonts w:cs="Arial"/>
                <w:b/>
                <w:sz w:val="20"/>
              </w:rPr>
              <w:t xml:space="preserve">Version number of the </w:t>
            </w:r>
            <w:r w:rsidR="006C4F9A">
              <w:rPr>
                <w:rFonts w:cs="Arial"/>
                <w:b/>
                <w:sz w:val="20"/>
              </w:rPr>
              <w:t>VPA</w:t>
            </w:r>
            <w:r w:rsidRPr="007374CE">
              <w:rPr>
                <w:rFonts w:cs="Arial"/>
                <w:b/>
                <w:sz w:val="20"/>
              </w:rPr>
              <w:t>-DD</w:t>
            </w:r>
          </w:p>
        </w:tc>
        <w:tc>
          <w:tcPr>
            <w:tcW w:w="6204" w:type="dxa"/>
            <w:tcMar>
              <w:top w:w="28" w:type="dxa"/>
              <w:left w:w="57" w:type="dxa"/>
              <w:bottom w:w="28" w:type="dxa"/>
              <w:right w:w="57" w:type="dxa"/>
            </w:tcMar>
            <w:vAlign w:val="center"/>
          </w:tcPr>
          <w:p w14:paraId="10AC87AE" w14:textId="77777777" w:rsidR="00E31949" w:rsidRPr="000C7CA3" w:rsidRDefault="004D0FD4" w:rsidP="00E31949">
            <w:pPr>
              <w:spacing w:before="120"/>
              <w:ind w:left="57"/>
              <w:rPr>
                <w:rFonts w:cs="Arial"/>
                <w:sz w:val="20"/>
                <w:szCs w:val="18"/>
              </w:rPr>
            </w:pPr>
            <w:r>
              <w:rPr>
                <w:rFonts w:cs="Arial"/>
                <w:sz w:val="20"/>
                <w:szCs w:val="18"/>
              </w:rPr>
              <w:t>1</w:t>
            </w:r>
            <w:r w:rsidR="00B96EC7">
              <w:rPr>
                <w:rFonts w:cs="Arial"/>
                <w:sz w:val="20"/>
                <w:szCs w:val="18"/>
              </w:rPr>
              <w:t>.3</w:t>
            </w:r>
          </w:p>
        </w:tc>
      </w:tr>
      <w:tr w:rsidR="00E31949" w:rsidRPr="000C7CA3" w14:paraId="0773030C" w14:textId="77777777" w:rsidTr="00A01CE1">
        <w:tblPrEx>
          <w:tblCellMar>
            <w:left w:w="28" w:type="dxa"/>
            <w:right w:w="28" w:type="dxa"/>
          </w:tblCellMar>
        </w:tblPrEx>
        <w:trPr>
          <w:trHeight w:val="220"/>
          <w:jc w:val="center"/>
        </w:trPr>
        <w:tc>
          <w:tcPr>
            <w:tcW w:w="3686" w:type="dxa"/>
            <w:tcBorders>
              <w:top w:val="single" w:sz="4" w:space="0" w:color="auto"/>
              <w:bottom w:val="single" w:sz="4" w:space="0" w:color="auto"/>
            </w:tcBorders>
            <w:shd w:val="clear" w:color="auto" w:fill="D9D9D9"/>
            <w:tcMar>
              <w:top w:w="28" w:type="dxa"/>
              <w:left w:w="57" w:type="dxa"/>
              <w:bottom w:w="28" w:type="dxa"/>
              <w:right w:w="57" w:type="dxa"/>
            </w:tcMar>
            <w:vAlign w:val="center"/>
          </w:tcPr>
          <w:p w14:paraId="6A96D509" w14:textId="77777777" w:rsidR="00E31949" w:rsidRPr="007374CE" w:rsidRDefault="00E31949" w:rsidP="0089085E">
            <w:pPr>
              <w:spacing w:before="120" w:after="120"/>
              <w:jc w:val="left"/>
              <w:rPr>
                <w:rFonts w:cs="Arial"/>
                <w:b/>
                <w:sz w:val="20"/>
              </w:rPr>
            </w:pPr>
            <w:r w:rsidRPr="007374CE">
              <w:rPr>
                <w:rFonts w:cs="Arial"/>
                <w:b/>
                <w:sz w:val="20"/>
              </w:rPr>
              <w:t xml:space="preserve">Completion date of the </w:t>
            </w:r>
            <w:r w:rsidR="006C4F9A">
              <w:rPr>
                <w:rFonts w:cs="Arial"/>
                <w:b/>
                <w:sz w:val="20"/>
              </w:rPr>
              <w:t>VPA</w:t>
            </w:r>
            <w:r w:rsidRPr="007374CE">
              <w:rPr>
                <w:rFonts w:cs="Arial"/>
                <w:b/>
                <w:sz w:val="20"/>
              </w:rPr>
              <w:t>-DD</w:t>
            </w:r>
          </w:p>
        </w:tc>
        <w:tc>
          <w:tcPr>
            <w:tcW w:w="6204" w:type="dxa"/>
            <w:tcBorders>
              <w:top w:val="single" w:sz="4" w:space="0" w:color="auto"/>
            </w:tcBorders>
            <w:tcMar>
              <w:top w:w="28" w:type="dxa"/>
              <w:left w:w="57" w:type="dxa"/>
              <w:bottom w:w="28" w:type="dxa"/>
              <w:right w:w="57" w:type="dxa"/>
            </w:tcMar>
            <w:vAlign w:val="center"/>
          </w:tcPr>
          <w:p w14:paraId="3777BBF9" w14:textId="77777777" w:rsidR="00E31949" w:rsidRPr="000C7CA3" w:rsidRDefault="00D15A6F" w:rsidP="00762920">
            <w:pPr>
              <w:spacing w:before="120"/>
              <w:ind w:left="57"/>
              <w:rPr>
                <w:rFonts w:cs="Arial"/>
                <w:sz w:val="20"/>
                <w:szCs w:val="18"/>
              </w:rPr>
            </w:pPr>
            <w:r>
              <w:rPr>
                <w:rFonts w:cs="Arial"/>
                <w:sz w:val="20"/>
                <w:szCs w:val="18"/>
              </w:rPr>
              <w:t>26</w:t>
            </w:r>
            <w:r w:rsidR="004D0FD4">
              <w:rPr>
                <w:rFonts w:cs="Arial"/>
                <w:sz w:val="20"/>
                <w:szCs w:val="18"/>
              </w:rPr>
              <w:t>/0</w:t>
            </w:r>
            <w:r w:rsidR="00762920">
              <w:rPr>
                <w:rFonts w:cs="Arial"/>
                <w:sz w:val="20"/>
                <w:szCs w:val="18"/>
              </w:rPr>
              <w:t>1</w:t>
            </w:r>
            <w:r w:rsidR="004D0FD4">
              <w:rPr>
                <w:rFonts w:cs="Arial"/>
                <w:sz w:val="20"/>
                <w:szCs w:val="18"/>
              </w:rPr>
              <w:t>/201</w:t>
            </w:r>
            <w:r w:rsidR="00762920">
              <w:rPr>
                <w:rFonts w:cs="Arial"/>
                <w:sz w:val="20"/>
                <w:szCs w:val="18"/>
              </w:rPr>
              <w:t>8</w:t>
            </w:r>
          </w:p>
        </w:tc>
      </w:tr>
      <w:tr w:rsidR="00E31949" w:rsidRPr="000C7CA3" w14:paraId="435FAD27" w14:textId="77777777" w:rsidTr="00A01CE1">
        <w:tblPrEx>
          <w:tblCellMar>
            <w:left w:w="28" w:type="dxa"/>
            <w:right w:w="28" w:type="dxa"/>
          </w:tblCellMar>
        </w:tblPrEx>
        <w:trPr>
          <w:trHeight w:val="539"/>
          <w:jc w:val="center"/>
        </w:trPr>
        <w:tc>
          <w:tcPr>
            <w:tcW w:w="3686" w:type="dxa"/>
            <w:tcBorders>
              <w:top w:val="single" w:sz="4" w:space="0" w:color="auto"/>
              <w:bottom w:val="single" w:sz="4" w:space="0" w:color="auto"/>
            </w:tcBorders>
            <w:shd w:val="clear" w:color="auto" w:fill="D9D9D9"/>
            <w:tcMar>
              <w:top w:w="28" w:type="dxa"/>
              <w:left w:w="57" w:type="dxa"/>
              <w:bottom w:w="28" w:type="dxa"/>
              <w:right w:w="57" w:type="dxa"/>
            </w:tcMar>
            <w:vAlign w:val="center"/>
          </w:tcPr>
          <w:p w14:paraId="624890B0" w14:textId="77777777" w:rsidR="00E31949" w:rsidRPr="007374CE" w:rsidRDefault="00E31949" w:rsidP="0089085E">
            <w:pPr>
              <w:spacing w:before="120" w:after="120"/>
              <w:jc w:val="left"/>
              <w:rPr>
                <w:rFonts w:cs="Arial"/>
                <w:b/>
                <w:sz w:val="20"/>
              </w:rPr>
            </w:pPr>
            <w:r w:rsidRPr="007374CE">
              <w:rPr>
                <w:rFonts w:cs="Arial"/>
                <w:b/>
                <w:sz w:val="20"/>
              </w:rPr>
              <w:t xml:space="preserve">Title and </w:t>
            </w:r>
            <w:r w:rsidR="00ED734A" w:rsidRPr="007374CE">
              <w:rPr>
                <w:rFonts w:cs="Arial"/>
                <w:b/>
                <w:sz w:val="20"/>
              </w:rPr>
              <w:t xml:space="preserve">UNFCCC </w:t>
            </w:r>
            <w:r w:rsidRPr="007374CE">
              <w:rPr>
                <w:rFonts w:cs="Arial"/>
                <w:b/>
                <w:sz w:val="20"/>
              </w:rPr>
              <w:t xml:space="preserve">reference number of the </w:t>
            </w:r>
            <w:r w:rsidR="00ED734A" w:rsidRPr="007374CE">
              <w:rPr>
                <w:rFonts w:cs="Arial"/>
                <w:b/>
                <w:sz w:val="20"/>
              </w:rPr>
              <w:t xml:space="preserve">registered CDM </w:t>
            </w:r>
            <w:r w:rsidRPr="007374CE">
              <w:rPr>
                <w:rFonts w:cs="Arial"/>
                <w:b/>
                <w:sz w:val="20"/>
              </w:rPr>
              <w:t xml:space="preserve">PoA </w:t>
            </w:r>
          </w:p>
        </w:tc>
        <w:tc>
          <w:tcPr>
            <w:tcW w:w="6204" w:type="dxa"/>
            <w:tcBorders>
              <w:top w:val="single" w:sz="4" w:space="0" w:color="auto"/>
            </w:tcBorders>
            <w:tcMar>
              <w:top w:w="28" w:type="dxa"/>
              <w:left w:w="57" w:type="dxa"/>
              <w:bottom w:w="28" w:type="dxa"/>
              <w:right w:w="57" w:type="dxa"/>
            </w:tcMar>
            <w:vAlign w:val="center"/>
          </w:tcPr>
          <w:p w14:paraId="14E3AC06" w14:textId="77777777" w:rsidR="00E31949" w:rsidRDefault="004D0FD4" w:rsidP="00E31949">
            <w:pPr>
              <w:spacing w:before="120"/>
              <w:ind w:left="57"/>
              <w:rPr>
                <w:rFonts w:cs="Arial"/>
                <w:sz w:val="20"/>
                <w:szCs w:val="18"/>
              </w:rPr>
            </w:pPr>
            <w:r>
              <w:rPr>
                <w:rFonts w:cs="Arial"/>
                <w:sz w:val="20"/>
                <w:szCs w:val="18"/>
              </w:rPr>
              <w:t xml:space="preserve">African Biogas Carbon Programme (ABC) </w:t>
            </w:r>
          </w:p>
          <w:p w14:paraId="7D4B0DDC" w14:textId="77777777" w:rsidR="004D0FD4" w:rsidRPr="000C7CA3" w:rsidRDefault="00DF7CE7" w:rsidP="00762920">
            <w:pPr>
              <w:spacing w:before="120"/>
              <w:ind w:left="57"/>
              <w:rPr>
                <w:rFonts w:cs="Arial"/>
                <w:sz w:val="20"/>
                <w:szCs w:val="18"/>
              </w:rPr>
            </w:pPr>
            <w:r>
              <w:rPr>
                <w:rFonts w:cs="Arial"/>
                <w:sz w:val="20"/>
                <w:szCs w:val="18"/>
              </w:rPr>
              <w:t>GS</w:t>
            </w:r>
            <w:r w:rsidR="00762920">
              <w:rPr>
                <w:rFonts w:cs="Arial"/>
                <w:sz w:val="20"/>
                <w:szCs w:val="18"/>
              </w:rPr>
              <w:t>2747</w:t>
            </w:r>
            <w:r w:rsidR="004D0FD4">
              <w:rPr>
                <w:rFonts w:cs="Arial"/>
                <w:sz w:val="20"/>
                <w:szCs w:val="18"/>
              </w:rPr>
              <w:t xml:space="preserve"> </w:t>
            </w:r>
          </w:p>
        </w:tc>
      </w:tr>
      <w:tr w:rsidR="00E31949" w:rsidRPr="000C7CA3" w14:paraId="148CEA43" w14:textId="77777777" w:rsidTr="00A01CE1">
        <w:tblPrEx>
          <w:tblCellMar>
            <w:left w:w="28" w:type="dxa"/>
            <w:right w:w="28" w:type="dxa"/>
          </w:tblCellMar>
        </w:tblPrEx>
        <w:trPr>
          <w:trHeight w:val="479"/>
          <w:jc w:val="center"/>
        </w:trPr>
        <w:tc>
          <w:tcPr>
            <w:tcW w:w="3686" w:type="dxa"/>
            <w:tcBorders>
              <w:top w:val="single" w:sz="4" w:space="0" w:color="auto"/>
              <w:bottom w:val="single" w:sz="4" w:space="0" w:color="auto"/>
            </w:tcBorders>
            <w:shd w:val="clear" w:color="auto" w:fill="D9D9D9"/>
            <w:tcMar>
              <w:top w:w="28" w:type="dxa"/>
              <w:left w:w="57" w:type="dxa"/>
              <w:bottom w:w="28" w:type="dxa"/>
              <w:right w:w="57" w:type="dxa"/>
            </w:tcMar>
            <w:vAlign w:val="center"/>
          </w:tcPr>
          <w:p w14:paraId="4882914D" w14:textId="77777777" w:rsidR="00E31949" w:rsidRPr="007374CE" w:rsidRDefault="00E31949" w:rsidP="0089085E">
            <w:pPr>
              <w:spacing w:before="120" w:after="120"/>
              <w:jc w:val="left"/>
              <w:rPr>
                <w:rFonts w:cs="Arial"/>
                <w:b/>
                <w:sz w:val="20"/>
              </w:rPr>
            </w:pPr>
            <w:r w:rsidRPr="007374CE">
              <w:rPr>
                <w:rFonts w:cs="Arial"/>
                <w:b/>
                <w:sz w:val="20"/>
              </w:rPr>
              <w:t xml:space="preserve">Title and reference number of the corresponding generic </w:t>
            </w:r>
            <w:r w:rsidR="006C4F9A">
              <w:rPr>
                <w:rFonts w:cs="Arial"/>
                <w:b/>
                <w:sz w:val="20"/>
              </w:rPr>
              <w:t>VPA</w:t>
            </w:r>
            <w:r w:rsidRPr="007374CE">
              <w:rPr>
                <w:rFonts w:cs="Arial"/>
                <w:b/>
                <w:sz w:val="20"/>
              </w:rPr>
              <w:t xml:space="preserve"> </w:t>
            </w:r>
          </w:p>
        </w:tc>
        <w:tc>
          <w:tcPr>
            <w:tcW w:w="6204" w:type="dxa"/>
            <w:tcBorders>
              <w:top w:val="single" w:sz="4" w:space="0" w:color="auto"/>
            </w:tcBorders>
            <w:tcMar>
              <w:top w:w="28" w:type="dxa"/>
              <w:left w:w="57" w:type="dxa"/>
              <w:bottom w:w="28" w:type="dxa"/>
              <w:right w:w="57" w:type="dxa"/>
            </w:tcMar>
            <w:vAlign w:val="center"/>
          </w:tcPr>
          <w:p w14:paraId="540D1289" w14:textId="77777777" w:rsidR="00E31949" w:rsidRPr="000C7CA3" w:rsidRDefault="004D0FD4" w:rsidP="00E31949">
            <w:pPr>
              <w:spacing w:before="120"/>
              <w:ind w:left="57"/>
              <w:rPr>
                <w:rFonts w:cs="Arial"/>
                <w:sz w:val="20"/>
                <w:szCs w:val="18"/>
              </w:rPr>
            </w:pPr>
            <w:r>
              <w:rPr>
                <w:rFonts w:cs="Arial"/>
                <w:sz w:val="20"/>
                <w:szCs w:val="18"/>
              </w:rPr>
              <w:t>N/A</w:t>
            </w:r>
          </w:p>
        </w:tc>
      </w:tr>
      <w:tr w:rsidR="00C42A81" w:rsidRPr="000C7CA3" w14:paraId="1B361213" w14:textId="77777777" w:rsidTr="00A01CE1">
        <w:tblPrEx>
          <w:tblCellMar>
            <w:left w:w="28" w:type="dxa"/>
            <w:right w:w="28" w:type="dxa"/>
          </w:tblCellMar>
        </w:tblPrEx>
        <w:trPr>
          <w:trHeight w:val="348"/>
          <w:jc w:val="center"/>
        </w:trPr>
        <w:tc>
          <w:tcPr>
            <w:tcW w:w="3686" w:type="dxa"/>
            <w:tcBorders>
              <w:top w:val="single" w:sz="4" w:space="0" w:color="auto"/>
              <w:bottom w:val="single" w:sz="4" w:space="0" w:color="auto"/>
            </w:tcBorders>
            <w:shd w:val="clear" w:color="auto" w:fill="D9D9D9"/>
            <w:tcMar>
              <w:top w:w="28" w:type="dxa"/>
              <w:left w:w="57" w:type="dxa"/>
              <w:bottom w:w="28" w:type="dxa"/>
              <w:right w:w="57" w:type="dxa"/>
            </w:tcMar>
            <w:vAlign w:val="center"/>
          </w:tcPr>
          <w:p w14:paraId="7D03D3AB" w14:textId="77777777" w:rsidR="00C42A81" w:rsidRPr="007374CE" w:rsidRDefault="00C42A81" w:rsidP="0089085E">
            <w:pPr>
              <w:spacing w:before="120" w:after="120"/>
              <w:jc w:val="left"/>
              <w:rPr>
                <w:rFonts w:cs="Arial"/>
                <w:b/>
                <w:sz w:val="20"/>
              </w:rPr>
            </w:pPr>
            <w:r w:rsidRPr="007374CE">
              <w:rPr>
                <w:rFonts w:cs="Arial"/>
                <w:b/>
                <w:sz w:val="20"/>
              </w:rPr>
              <w:t>Coordinating/managing entity</w:t>
            </w:r>
          </w:p>
        </w:tc>
        <w:tc>
          <w:tcPr>
            <w:tcW w:w="6204" w:type="dxa"/>
            <w:tcBorders>
              <w:top w:val="single" w:sz="4" w:space="0" w:color="auto"/>
            </w:tcBorders>
            <w:tcMar>
              <w:top w:w="28" w:type="dxa"/>
              <w:left w:w="57" w:type="dxa"/>
              <w:bottom w:w="28" w:type="dxa"/>
              <w:right w:w="57" w:type="dxa"/>
            </w:tcMar>
            <w:vAlign w:val="center"/>
          </w:tcPr>
          <w:p w14:paraId="16DC4454" w14:textId="77777777" w:rsidR="00C42A81" w:rsidRPr="000C7CA3" w:rsidRDefault="004D0FD4" w:rsidP="00985521">
            <w:pPr>
              <w:spacing w:before="120"/>
              <w:ind w:left="57"/>
              <w:rPr>
                <w:rFonts w:cs="Arial"/>
                <w:sz w:val="20"/>
                <w:szCs w:val="18"/>
              </w:rPr>
            </w:pPr>
            <w:r>
              <w:rPr>
                <w:rFonts w:cs="Arial"/>
                <w:sz w:val="20"/>
                <w:szCs w:val="18"/>
              </w:rPr>
              <w:t>Hivos</w:t>
            </w:r>
          </w:p>
        </w:tc>
      </w:tr>
      <w:tr w:rsidR="00E31949" w:rsidRPr="000C7CA3" w14:paraId="40E797E7" w14:textId="77777777" w:rsidTr="00A01CE1">
        <w:tblPrEx>
          <w:tblCellMar>
            <w:left w:w="28" w:type="dxa"/>
            <w:right w:w="28" w:type="dxa"/>
          </w:tblCellMar>
        </w:tblPrEx>
        <w:trPr>
          <w:trHeight w:val="348"/>
          <w:jc w:val="center"/>
        </w:trPr>
        <w:tc>
          <w:tcPr>
            <w:tcW w:w="3686" w:type="dxa"/>
            <w:tcBorders>
              <w:top w:val="single" w:sz="4" w:space="0" w:color="auto"/>
              <w:bottom w:val="single" w:sz="4" w:space="0" w:color="auto"/>
            </w:tcBorders>
            <w:shd w:val="clear" w:color="auto" w:fill="D9D9D9"/>
            <w:tcMar>
              <w:top w:w="28" w:type="dxa"/>
              <w:left w:w="57" w:type="dxa"/>
              <w:bottom w:w="28" w:type="dxa"/>
              <w:right w:w="57" w:type="dxa"/>
            </w:tcMar>
            <w:vAlign w:val="center"/>
          </w:tcPr>
          <w:p w14:paraId="0460284A" w14:textId="77777777" w:rsidR="00E31949" w:rsidRPr="007374CE" w:rsidRDefault="00E31949" w:rsidP="0089085E">
            <w:pPr>
              <w:spacing w:before="120" w:after="120"/>
              <w:jc w:val="left"/>
              <w:rPr>
                <w:rFonts w:cs="Arial"/>
                <w:b/>
                <w:sz w:val="20"/>
              </w:rPr>
            </w:pPr>
            <w:r w:rsidRPr="007374CE">
              <w:rPr>
                <w:rFonts w:cs="Arial"/>
                <w:b/>
                <w:sz w:val="20"/>
              </w:rPr>
              <w:t>Host Party</w:t>
            </w:r>
          </w:p>
        </w:tc>
        <w:tc>
          <w:tcPr>
            <w:tcW w:w="6204" w:type="dxa"/>
            <w:tcBorders>
              <w:top w:val="single" w:sz="4" w:space="0" w:color="auto"/>
            </w:tcBorders>
            <w:tcMar>
              <w:top w:w="28" w:type="dxa"/>
              <w:left w:w="57" w:type="dxa"/>
              <w:bottom w:w="28" w:type="dxa"/>
              <w:right w:w="57" w:type="dxa"/>
            </w:tcMar>
            <w:vAlign w:val="center"/>
          </w:tcPr>
          <w:p w14:paraId="77F65A00" w14:textId="77777777" w:rsidR="00E31949" w:rsidRPr="000C7CA3" w:rsidRDefault="004D0FD4" w:rsidP="00E31949">
            <w:pPr>
              <w:spacing w:before="120"/>
              <w:ind w:left="57"/>
              <w:rPr>
                <w:rFonts w:cs="Arial"/>
                <w:sz w:val="20"/>
                <w:szCs w:val="18"/>
              </w:rPr>
            </w:pPr>
            <w:r>
              <w:rPr>
                <w:rFonts w:cs="Arial"/>
                <w:sz w:val="20"/>
                <w:szCs w:val="18"/>
              </w:rPr>
              <w:t>Kenya</w:t>
            </w:r>
          </w:p>
        </w:tc>
      </w:tr>
      <w:tr w:rsidR="00E31949" w:rsidRPr="000C7CA3" w14:paraId="69265F71" w14:textId="77777777" w:rsidTr="00A01CE1">
        <w:tblPrEx>
          <w:tblCellMar>
            <w:left w:w="28" w:type="dxa"/>
            <w:right w:w="28" w:type="dxa"/>
          </w:tblCellMar>
        </w:tblPrEx>
        <w:trPr>
          <w:trHeight w:val="348"/>
          <w:jc w:val="center"/>
        </w:trPr>
        <w:tc>
          <w:tcPr>
            <w:tcW w:w="3686" w:type="dxa"/>
            <w:tcBorders>
              <w:top w:val="single" w:sz="4" w:space="0" w:color="auto"/>
              <w:bottom w:val="single" w:sz="4" w:space="0" w:color="auto"/>
            </w:tcBorders>
            <w:shd w:val="clear" w:color="auto" w:fill="D9D9D9"/>
            <w:tcMar>
              <w:top w:w="28" w:type="dxa"/>
              <w:left w:w="57" w:type="dxa"/>
              <w:bottom w:w="28" w:type="dxa"/>
              <w:right w:w="57" w:type="dxa"/>
            </w:tcMar>
            <w:vAlign w:val="center"/>
          </w:tcPr>
          <w:p w14:paraId="0FBB53F6" w14:textId="77777777" w:rsidR="00E31949" w:rsidRPr="007374CE" w:rsidRDefault="005056E3" w:rsidP="005056E3">
            <w:pPr>
              <w:spacing w:before="120" w:after="120"/>
              <w:jc w:val="left"/>
              <w:rPr>
                <w:rFonts w:cs="Arial"/>
                <w:b/>
                <w:sz w:val="20"/>
              </w:rPr>
            </w:pPr>
            <w:r w:rsidRPr="007374CE">
              <w:rPr>
                <w:rFonts w:cs="Arial"/>
                <w:b/>
                <w:sz w:val="20"/>
              </w:rPr>
              <w:t xml:space="preserve">Applied methodologies and </w:t>
            </w:r>
            <w:r w:rsidR="00E31949" w:rsidRPr="007374CE">
              <w:rPr>
                <w:rFonts w:cs="Arial"/>
                <w:b/>
                <w:sz w:val="20"/>
              </w:rPr>
              <w:t>standardized baselines</w:t>
            </w:r>
          </w:p>
        </w:tc>
        <w:tc>
          <w:tcPr>
            <w:tcW w:w="6204" w:type="dxa"/>
            <w:tcBorders>
              <w:top w:val="single" w:sz="4" w:space="0" w:color="auto"/>
              <w:bottom w:val="single" w:sz="4" w:space="0" w:color="auto"/>
            </w:tcBorders>
            <w:tcMar>
              <w:top w:w="28" w:type="dxa"/>
              <w:left w:w="57" w:type="dxa"/>
              <w:bottom w:w="28" w:type="dxa"/>
              <w:right w:w="57" w:type="dxa"/>
            </w:tcMar>
            <w:vAlign w:val="center"/>
          </w:tcPr>
          <w:p w14:paraId="2090AC15" w14:textId="77777777" w:rsidR="00E31949" w:rsidRPr="009630FB" w:rsidRDefault="009630FB" w:rsidP="009630FB">
            <w:pPr>
              <w:rPr>
                <w:rFonts w:cs="Arial"/>
                <w:lang w:eastAsia="en-US"/>
              </w:rPr>
            </w:pPr>
            <w:r w:rsidRPr="00975233">
              <w:rPr>
                <w:rFonts w:cs="Arial"/>
                <w:sz w:val="20"/>
                <w:szCs w:val="18"/>
              </w:rPr>
              <w:t xml:space="preserve">Gold Standard methodology “Technologies and Practices to Displace Decentralized Thermal Energy Consumption” (Version </w:t>
            </w:r>
            <w:r w:rsidR="00762920">
              <w:rPr>
                <w:rFonts w:cs="Arial"/>
                <w:sz w:val="20"/>
                <w:szCs w:val="18"/>
              </w:rPr>
              <w:t>1</w:t>
            </w:r>
            <w:r w:rsidRPr="00975233">
              <w:rPr>
                <w:rFonts w:cs="Arial"/>
                <w:sz w:val="20"/>
                <w:szCs w:val="18"/>
              </w:rPr>
              <w:t>.0)</w:t>
            </w:r>
          </w:p>
        </w:tc>
      </w:tr>
      <w:tr w:rsidR="00E31949" w:rsidRPr="000C7CA3" w14:paraId="3071CE0D" w14:textId="77777777" w:rsidTr="00A01CE1">
        <w:tblPrEx>
          <w:tblCellMar>
            <w:left w:w="28" w:type="dxa"/>
            <w:right w:w="28" w:type="dxa"/>
          </w:tblCellMar>
        </w:tblPrEx>
        <w:trPr>
          <w:trHeight w:val="348"/>
          <w:jc w:val="center"/>
        </w:trPr>
        <w:tc>
          <w:tcPr>
            <w:tcW w:w="3686" w:type="dxa"/>
            <w:tcBorders>
              <w:top w:val="single" w:sz="4" w:space="0" w:color="auto"/>
              <w:bottom w:val="single" w:sz="4" w:space="0" w:color="auto"/>
            </w:tcBorders>
            <w:shd w:val="clear" w:color="auto" w:fill="D9D9D9"/>
            <w:tcMar>
              <w:top w:w="28" w:type="dxa"/>
              <w:left w:w="57" w:type="dxa"/>
              <w:bottom w:w="28" w:type="dxa"/>
              <w:right w:w="57" w:type="dxa"/>
            </w:tcMar>
            <w:vAlign w:val="center"/>
          </w:tcPr>
          <w:p w14:paraId="00286CA3" w14:textId="77777777" w:rsidR="00E31949" w:rsidRPr="007374CE" w:rsidRDefault="00E31949" w:rsidP="0089085E">
            <w:pPr>
              <w:spacing w:before="120" w:after="120"/>
              <w:jc w:val="left"/>
              <w:rPr>
                <w:rFonts w:cs="Arial"/>
                <w:b/>
                <w:sz w:val="20"/>
              </w:rPr>
            </w:pPr>
            <w:r w:rsidRPr="007374CE">
              <w:rPr>
                <w:rFonts w:cs="Arial"/>
                <w:b/>
                <w:sz w:val="20"/>
              </w:rPr>
              <w:t>Sectoral scopes linked to the applied methodologies</w:t>
            </w:r>
          </w:p>
        </w:tc>
        <w:tc>
          <w:tcPr>
            <w:tcW w:w="6204" w:type="dxa"/>
            <w:tcBorders>
              <w:top w:val="single" w:sz="4" w:space="0" w:color="auto"/>
              <w:bottom w:val="single" w:sz="4" w:space="0" w:color="auto"/>
            </w:tcBorders>
            <w:tcMar>
              <w:top w:w="28" w:type="dxa"/>
              <w:left w:w="57" w:type="dxa"/>
              <w:bottom w:w="28" w:type="dxa"/>
              <w:right w:w="57" w:type="dxa"/>
            </w:tcMar>
            <w:vAlign w:val="center"/>
          </w:tcPr>
          <w:p w14:paraId="29DC62FC" w14:textId="77777777" w:rsidR="00DF7CE7" w:rsidRDefault="00DF7CE7" w:rsidP="00DF7CE7">
            <w:pPr>
              <w:spacing w:before="120"/>
              <w:ind w:left="57"/>
              <w:rPr>
                <w:rFonts w:cs="Arial"/>
                <w:sz w:val="20"/>
                <w:szCs w:val="18"/>
              </w:rPr>
            </w:pPr>
            <w:r w:rsidRPr="00DF7CE7">
              <w:rPr>
                <w:rFonts w:cs="Arial"/>
                <w:sz w:val="20"/>
                <w:szCs w:val="18"/>
              </w:rPr>
              <w:t>1 Energy industries (renew</w:t>
            </w:r>
            <w:r>
              <w:rPr>
                <w:rFonts w:cs="Arial"/>
                <w:sz w:val="20"/>
                <w:szCs w:val="18"/>
              </w:rPr>
              <w:t>able - / non-renewable sources)</w:t>
            </w:r>
          </w:p>
          <w:p w14:paraId="06CE391D" w14:textId="77777777" w:rsidR="00E31949" w:rsidRPr="000C7CA3" w:rsidRDefault="00762920" w:rsidP="00DF7CE7">
            <w:pPr>
              <w:spacing w:before="120"/>
              <w:ind w:left="57"/>
              <w:rPr>
                <w:rFonts w:cs="Arial"/>
                <w:sz w:val="20"/>
                <w:szCs w:val="18"/>
              </w:rPr>
            </w:pPr>
            <w:r>
              <w:rPr>
                <w:rFonts w:cs="Arial"/>
                <w:sz w:val="20"/>
                <w:szCs w:val="18"/>
              </w:rPr>
              <w:t>13 Waste handling and disposal</w:t>
            </w:r>
          </w:p>
        </w:tc>
      </w:tr>
      <w:tr w:rsidR="00E31949" w:rsidRPr="000C7CA3" w14:paraId="1E87DBF1" w14:textId="77777777" w:rsidTr="00A01CE1">
        <w:tblPrEx>
          <w:tblCellMar>
            <w:left w:w="28" w:type="dxa"/>
            <w:right w:w="28" w:type="dxa"/>
          </w:tblCellMar>
        </w:tblPrEx>
        <w:trPr>
          <w:trHeight w:val="796"/>
          <w:jc w:val="center"/>
        </w:trPr>
        <w:tc>
          <w:tcPr>
            <w:tcW w:w="3686" w:type="dxa"/>
            <w:tcBorders>
              <w:top w:val="single" w:sz="4" w:space="0" w:color="auto"/>
              <w:bottom w:val="double" w:sz="4" w:space="0" w:color="auto"/>
            </w:tcBorders>
            <w:shd w:val="clear" w:color="auto" w:fill="D9D9D9"/>
            <w:tcMar>
              <w:top w:w="28" w:type="dxa"/>
              <w:left w:w="57" w:type="dxa"/>
              <w:bottom w:w="28" w:type="dxa"/>
              <w:right w:w="57" w:type="dxa"/>
            </w:tcMar>
            <w:vAlign w:val="center"/>
          </w:tcPr>
          <w:p w14:paraId="18FA8B43" w14:textId="77777777" w:rsidR="00E31949" w:rsidRPr="007374CE" w:rsidRDefault="00E31949" w:rsidP="0089085E">
            <w:pPr>
              <w:spacing w:before="120" w:after="120"/>
              <w:jc w:val="left"/>
              <w:rPr>
                <w:rFonts w:cs="Arial"/>
                <w:b/>
                <w:sz w:val="20"/>
              </w:rPr>
            </w:pPr>
            <w:r w:rsidRPr="007374CE">
              <w:rPr>
                <w:rFonts w:cs="Arial"/>
                <w:b/>
                <w:sz w:val="20"/>
              </w:rPr>
              <w:t xml:space="preserve">Estimated amount of </w:t>
            </w:r>
            <w:r w:rsidRPr="007374CE">
              <w:rPr>
                <w:rFonts w:cs="Arial" w:hint="eastAsia"/>
                <w:b/>
                <w:sz w:val="20"/>
              </w:rPr>
              <w:t>annual average GHG emission reductions</w:t>
            </w:r>
          </w:p>
        </w:tc>
        <w:tc>
          <w:tcPr>
            <w:tcW w:w="6204" w:type="dxa"/>
            <w:tcBorders>
              <w:top w:val="single" w:sz="4" w:space="0" w:color="auto"/>
              <w:bottom w:val="double" w:sz="4" w:space="0" w:color="auto"/>
            </w:tcBorders>
            <w:tcMar>
              <w:top w:w="28" w:type="dxa"/>
              <w:left w:w="57" w:type="dxa"/>
              <w:bottom w:w="28" w:type="dxa"/>
              <w:right w:w="57" w:type="dxa"/>
            </w:tcMar>
            <w:vAlign w:val="center"/>
          </w:tcPr>
          <w:p w14:paraId="5EBD4834" w14:textId="77777777" w:rsidR="00E31949" w:rsidRPr="000C7CA3" w:rsidRDefault="00F1663A" w:rsidP="00E31949">
            <w:pPr>
              <w:spacing w:before="120"/>
              <w:ind w:left="57"/>
              <w:rPr>
                <w:rFonts w:cs="Arial"/>
                <w:sz w:val="20"/>
                <w:szCs w:val="18"/>
              </w:rPr>
            </w:pPr>
            <w:r>
              <w:rPr>
                <w:rFonts w:cs="Arial"/>
                <w:sz w:val="20"/>
                <w:szCs w:val="18"/>
              </w:rPr>
              <w:t>38,966</w:t>
            </w:r>
          </w:p>
        </w:tc>
      </w:tr>
    </w:tbl>
    <w:p w14:paraId="5D0D795A" w14:textId="77777777" w:rsidR="00CE38BC" w:rsidRPr="000C7CA3" w:rsidRDefault="00180A59" w:rsidP="001E0142">
      <w:pPr>
        <w:pStyle w:val="SDMPDDPoASection"/>
        <w:pageBreakBefore/>
        <w:numPr>
          <w:ilvl w:val="0"/>
          <w:numId w:val="30"/>
        </w:numPr>
        <w:tabs>
          <w:tab w:val="num" w:pos="2835"/>
        </w:tabs>
        <w:ind w:left="1729" w:hanging="1729"/>
      </w:pPr>
      <w:bookmarkStart w:id="2" w:name="_Ref309397584"/>
      <w:r>
        <w:lastRenderedPageBreak/>
        <w:t>D</w:t>
      </w:r>
      <w:r w:rsidR="00CE38BC" w:rsidRPr="000C7CA3">
        <w:t xml:space="preserve">escription of </w:t>
      </w:r>
      <w:r w:rsidR="00F71E72">
        <w:t>component project activity (</w:t>
      </w:r>
      <w:r w:rsidR="006C4F9A">
        <w:t>VPA</w:t>
      </w:r>
      <w:r w:rsidR="00F71E72">
        <w:t>)</w:t>
      </w:r>
    </w:p>
    <w:p w14:paraId="68F55280" w14:textId="77777777" w:rsidR="00CE38BC" w:rsidRPr="000C7CA3" w:rsidRDefault="000D25FD" w:rsidP="006E52DB">
      <w:pPr>
        <w:pStyle w:val="SDMPDDPoASubSection1"/>
        <w:numPr>
          <w:ilvl w:val="2"/>
          <w:numId w:val="12"/>
        </w:numPr>
        <w:tabs>
          <w:tab w:val="clear" w:pos="1474"/>
        </w:tabs>
        <w:ind w:left="709" w:hanging="709"/>
      </w:pPr>
      <w:r w:rsidRPr="000C7CA3">
        <w:tab/>
      </w:r>
      <w:bookmarkStart w:id="3" w:name="_Ref478479701"/>
      <w:r w:rsidR="00004BD2">
        <w:t>General d</w:t>
      </w:r>
      <w:r w:rsidR="00CE38BC" w:rsidRPr="000C7CA3">
        <w:t xml:space="preserve">escription of </w:t>
      </w:r>
      <w:r w:rsidR="006C4F9A">
        <w:t>VPA</w:t>
      </w:r>
      <w:bookmarkEnd w:id="3"/>
    </w:p>
    <w:p w14:paraId="266AEC6A" w14:textId="77777777" w:rsidR="005E608C" w:rsidRDefault="005E608C" w:rsidP="006B07A7">
      <w:pPr>
        <w:rPr>
          <w:rFonts w:cs="Arial"/>
          <w:lang w:eastAsia="en-US"/>
        </w:rPr>
      </w:pPr>
      <w:r w:rsidRPr="000C7CA3">
        <w:rPr>
          <w:rFonts w:cs="Arial"/>
          <w:lang w:eastAsia="en-US"/>
        </w:rPr>
        <w:t>&gt;&gt;</w:t>
      </w:r>
    </w:p>
    <w:p w14:paraId="6EFC7845" w14:textId="77777777" w:rsidR="00AC0618" w:rsidRDefault="00AC0618" w:rsidP="006C4F9A">
      <w:pPr>
        <w:rPr>
          <w:rFonts w:cs="Arial"/>
        </w:rPr>
      </w:pPr>
      <w:r w:rsidRPr="0070351E">
        <w:rPr>
          <w:rFonts w:cs="Arial"/>
        </w:rPr>
        <w:t>The overall objective of the VPA is to contribute to the achievement of the</w:t>
      </w:r>
      <w:r>
        <w:rPr>
          <w:rFonts w:cs="Arial"/>
        </w:rPr>
        <w:t xml:space="preserve"> Sustainable Development Goals (SDGs)</w:t>
      </w:r>
      <w:r w:rsidRPr="0070351E">
        <w:rPr>
          <w:rFonts w:cs="Arial"/>
        </w:rPr>
        <w:t xml:space="preserve"> through the dissemination of domestic biogas systems as a local, sustainable energy source</w:t>
      </w:r>
      <w:r w:rsidR="00611138">
        <w:rPr>
          <w:rFonts w:cs="Arial"/>
        </w:rPr>
        <w:t xml:space="preserve">, as well as </w:t>
      </w:r>
      <w:r w:rsidRPr="0070351E">
        <w:rPr>
          <w:rFonts w:cs="Arial"/>
        </w:rPr>
        <w:t>the development of a commercially viable, market-oriented biogas sector. By encouraging the switch from traditional non-renewable biomass (NRB) fuels to renewable biogas the VPA is reducing greenhouse gas (GHG) emissions</w:t>
      </w:r>
      <w:r w:rsidR="00762920">
        <w:rPr>
          <w:rFonts w:cs="Arial"/>
        </w:rPr>
        <w:t>. Emission reductions are accounted for only from biogas used for cooking, although some customers use biogas also for lighting.</w:t>
      </w:r>
    </w:p>
    <w:p w14:paraId="669EE022" w14:textId="77777777" w:rsidR="00AC0618" w:rsidRDefault="00AC0618" w:rsidP="006C4F9A">
      <w:pPr>
        <w:rPr>
          <w:rFonts w:cs="Arial"/>
        </w:rPr>
      </w:pPr>
    </w:p>
    <w:p w14:paraId="780955EF" w14:textId="77777777" w:rsidR="00AC0618" w:rsidRPr="0070351E" w:rsidRDefault="00AC0618" w:rsidP="00AC0618">
      <w:pPr>
        <w:rPr>
          <w:rFonts w:cs="Arial"/>
        </w:rPr>
      </w:pPr>
      <w:r w:rsidRPr="0070351E">
        <w:rPr>
          <w:rFonts w:cs="Arial"/>
        </w:rPr>
        <w:t xml:space="preserve">The </w:t>
      </w:r>
      <w:r w:rsidR="003B566B">
        <w:rPr>
          <w:rFonts w:cs="Arial"/>
        </w:rPr>
        <w:t>Kenya Biogas Programme (KBP)</w:t>
      </w:r>
      <w:r w:rsidRPr="0070351E">
        <w:rPr>
          <w:rFonts w:cs="Arial"/>
        </w:rPr>
        <w:t>, is the sector leader with the responsibility of coordinating, facilitating and monitoring sector functions and supporting the technical, financial and institutional architecture necessary for development of the domestic biogas sector in Kenya.</w:t>
      </w:r>
    </w:p>
    <w:p w14:paraId="1932AD02" w14:textId="77777777" w:rsidR="00AC0618" w:rsidRPr="0070351E" w:rsidRDefault="00AC0618" w:rsidP="00AC0618">
      <w:pPr>
        <w:rPr>
          <w:rFonts w:cs="Arial"/>
        </w:rPr>
      </w:pPr>
    </w:p>
    <w:p w14:paraId="4823F0E1" w14:textId="77777777" w:rsidR="00AC0618" w:rsidRPr="0070351E" w:rsidRDefault="00AC0618" w:rsidP="00AC0618">
      <w:pPr>
        <w:rPr>
          <w:rFonts w:cs="Arial"/>
        </w:rPr>
      </w:pPr>
      <w:r w:rsidRPr="0070351E">
        <w:rPr>
          <w:rFonts w:cs="Arial"/>
        </w:rPr>
        <w:t xml:space="preserve">The VPA is to be implemented based on private sector market oriented principles, but developing governmental support for a favourable regulatory and policy environment, as well as general buy-in promotion and extension. </w:t>
      </w:r>
    </w:p>
    <w:p w14:paraId="25DCC8B3" w14:textId="77777777" w:rsidR="00AC0618" w:rsidRDefault="00AC0618" w:rsidP="006C4F9A">
      <w:pPr>
        <w:rPr>
          <w:rFonts w:cs="Arial"/>
        </w:rPr>
      </w:pPr>
    </w:p>
    <w:p w14:paraId="220C3027" w14:textId="77777777" w:rsidR="00AC0618" w:rsidRDefault="009A6596" w:rsidP="006C4F9A">
      <w:pPr>
        <w:rPr>
          <w:rFonts w:cs="Arial"/>
        </w:rPr>
      </w:pPr>
      <w:r w:rsidRPr="009A6596">
        <w:rPr>
          <w:rFonts w:cs="Arial"/>
        </w:rPr>
        <w:t xml:space="preserve">The </w:t>
      </w:r>
      <w:r w:rsidR="00985346">
        <w:rPr>
          <w:rFonts w:cs="Arial"/>
        </w:rPr>
        <w:t>Kenya VPA006 is part of the African Biogas Carbon (ABC) PoA. The V</w:t>
      </w:r>
      <w:r w:rsidR="00AC0618">
        <w:rPr>
          <w:rFonts w:cs="Arial"/>
        </w:rPr>
        <w:t>PA is located in Kenya.</w:t>
      </w:r>
    </w:p>
    <w:p w14:paraId="48A019B1" w14:textId="77777777" w:rsidR="00985346" w:rsidRDefault="00985346" w:rsidP="00985346">
      <w:pPr>
        <w:pStyle w:val="SDMTableBoxParaNumbered"/>
      </w:pPr>
    </w:p>
    <w:p w14:paraId="410666C1" w14:textId="77777777" w:rsidR="00985346" w:rsidRDefault="00985346" w:rsidP="00985346">
      <w:pPr>
        <w:pStyle w:val="SDMTableBoxParaNumbered"/>
        <w:rPr>
          <w:sz w:val="22"/>
          <w:u w:val="single"/>
        </w:rPr>
      </w:pPr>
      <w:r w:rsidRPr="00985346">
        <w:rPr>
          <w:sz w:val="22"/>
          <w:u w:val="single"/>
        </w:rPr>
        <w:t>The technologies/mea</w:t>
      </w:r>
      <w:r w:rsidR="004C0BBC">
        <w:rPr>
          <w:sz w:val="22"/>
          <w:u w:val="single"/>
        </w:rPr>
        <w:t>sures employed by the V</w:t>
      </w:r>
      <w:r w:rsidRPr="00985346">
        <w:rPr>
          <w:sz w:val="22"/>
          <w:u w:val="single"/>
        </w:rPr>
        <w:t>PA</w:t>
      </w:r>
    </w:p>
    <w:p w14:paraId="2DA0D095" w14:textId="77777777" w:rsidR="004C0BBC" w:rsidRPr="004C0BBC" w:rsidRDefault="004C0BBC" w:rsidP="004C0BBC">
      <w:pPr>
        <w:pStyle w:val="SDMTableBoxParaNumbered"/>
        <w:jc w:val="both"/>
        <w:rPr>
          <w:sz w:val="22"/>
        </w:rPr>
      </w:pPr>
      <w:r>
        <w:rPr>
          <w:sz w:val="22"/>
        </w:rPr>
        <w:t xml:space="preserve">The VPA will stimulate the installation of domestic biogas systems of </w:t>
      </w:r>
      <w:r w:rsidR="008B39FF">
        <w:rPr>
          <w:sz w:val="22"/>
        </w:rPr>
        <w:t xml:space="preserve">from </w:t>
      </w:r>
      <w:r>
        <w:rPr>
          <w:sz w:val="22"/>
        </w:rPr>
        <w:t>4m</w:t>
      </w:r>
      <w:r>
        <w:rPr>
          <w:sz w:val="22"/>
          <w:vertAlign w:val="superscript"/>
        </w:rPr>
        <w:t>3</w:t>
      </w:r>
      <w:r w:rsidR="008B39FF">
        <w:rPr>
          <w:sz w:val="22"/>
        </w:rPr>
        <w:t xml:space="preserve"> </w:t>
      </w:r>
      <w:r>
        <w:rPr>
          <w:sz w:val="22"/>
        </w:rPr>
        <w:t xml:space="preserve">capacity. </w:t>
      </w:r>
      <w:r w:rsidR="008B39FF">
        <w:rPr>
          <w:sz w:val="22"/>
        </w:rPr>
        <w:t>Digesters of any size are permitted as long as they are demonstrated to be below the small-scale limit.</w:t>
      </w:r>
      <w:r w:rsidR="006D052C">
        <w:rPr>
          <w:sz w:val="22"/>
        </w:rPr>
        <w:t xml:space="preserve"> </w:t>
      </w:r>
      <w:r>
        <w:rPr>
          <w:sz w:val="22"/>
        </w:rPr>
        <w:t>T</w:t>
      </w:r>
      <w:r w:rsidR="008B39FF">
        <w:rPr>
          <w:sz w:val="22"/>
        </w:rPr>
        <w:t>he VPA implementer has</w:t>
      </w:r>
      <w:r>
        <w:rPr>
          <w:sz w:val="22"/>
        </w:rPr>
        <w:t xml:space="preserve"> selected the appropriate biogas technology to be implemented through engagement with a wide range of stakeholders. They agreed on a fixed dome digester design to be known as the Kenya National Biogas Model (KENBIM). Please refer to section A.3 for more details on the technology employed by the VPA. </w:t>
      </w:r>
    </w:p>
    <w:p w14:paraId="0D6EAF23" w14:textId="77777777" w:rsidR="00985346" w:rsidRPr="00985346" w:rsidRDefault="00985346" w:rsidP="00985346">
      <w:pPr>
        <w:pStyle w:val="SDMTableBoxParaNumbered"/>
        <w:rPr>
          <w:sz w:val="22"/>
          <w:u w:val="single"/>
        </w:rPr>
      </w:pPr>
    </w:p>
    <w:p w14:paraId="6A417E5F" w14:textId="77777777" w:rsidR="00985346" w:rsidRDefault="00985346" w:rsidP="00985346">
      <w:pPr>
        <w:pStyle w:val="SDMTableBoxParaNumbered"/>
        <w:rPr>
          <w:sz w:val="22"/>
          <w:u w:val="single"/>
        </w:rPr>
      </w:pPr>
      <w:r w:rsidRPr="00985346">
        <w:rPr>
          <w:sz w:val="22"/>
          <w:u w:val="single"/>
        </w:rPr>
        <w:t>The project boundary</w:t>
      </w:r>
    </w:p>
    <w:p w14:paraId="6D99E63D" w14:textId="77777777" w:rsidR="004C0BBC" w:rsidRPr="004C0BBC" w:rsidRDefault="004C0BBC" w:rsidP="00985346">
      <w:pPr>
        <w:pStyle w:val="SDMTableBoxParaNumbered"/>
        <w:rPr>
          <w:sz w:val="22"/>
        </w:rPr>
      </w:pPr>
      <w:r>
        <w:rPr>
          <w:sz w:val="22"/>
        </w:rPr>
        <w:t xml:space="preserve">The </w:t>
      </w:r>
      <w:r w:rsidR="00910140">
        <w:rPr>
          <w:sz w:val="22"/>
        </w:rPr>
        <w:t>project bound</w:t>
      </w:r>
      <w:r w:rsidR="008B39FF">
        <w:rPr>
          <w:sz w:val="22"/>
        </w:rPr>
        <w:t xml:space="preserve">ary of the VPA is the physical boundary of the Republic of Kenya. </w:t>
      </w:r>
      <w:r w:rsidR="00910140">
        <w:rPr>
          <w:sz w:val="22"/>
        </w:rPr>
        <w:t xml:space="preserve"> </w:t>
      </w:r>
    </w:p>
    <w:p w14:paraId="4422A94C" w14:textId="77777777" w:rsidR="00985346" w:rsidRDefault="00985346" w:rsidP="00985346">
      <w:pPr>
        <w:pStyle w:val="SDMTableBoxParaNumbered"/>
        <w:rPr>
          <w:u w:val="single"/>
        </w:rPr>
      </w:pPr>
    </w:p>
    <w:p w14:paraId="00C59B42" w14:textId="77777777" w:rsidR="00985346" w:rsidRPr="00985346" w:rsidRDefault="00985346" w:rsidP="00985346">
      <w:pPr>
        <w:pStyle w:val="SDMTableBoxParaNumbered"/>
        <w:rPr>
          <w:sz w:val="22"/>
          <w:u w:val="single"/>
        </w:rPr>
      </w:pPr>
      <w:r w:rsidRPr="00985346">
        <w:rPr>
          <w:sz w:val="22"/>
          <w:u w:val="single"/>
        </w:rPr>
        <w:t>The baseline scenario</w:t>
      </w:r>
    </w:p>
    <w:p w14:paraId="37E1F3DE" w14:textId="77777777" w:rsidR="00DE7438" w:rsidRDefault="00D9157F" w:rsidP="000668EE">
      <w:pPr>
        <w:rPr>
          <w:rFonts w:cs="Arial"/>
        </w:rPr>
      </w:pPr>
      <w:r>
        <w:rPr>
          <w:rFonts w:cs="Arial"/>
        </w:rPr>
        <w:t>With wood fuel (firewood and charcoal) accounting for 68% of the total primary energy consumption, biomass fuels are the most important source of household energy in Kenya.</w:t>
      </w:r>
      <w:r>
        <w:rPr>
          <w:rStyle w:val="FootnoteReference"/>
          <w:rFonts w:cs="Arial"/>
        </w:rPr>
        <w:footnoteReference w:id="2"/>
      </w:r>
      <w:r>
        <w:rPr>
          <w:rFonts w:cs="Arial"/>
        </w:rPr>
        <w:t xml:space="preserve"> </w:t>
      </w:r>
      <w:r w:rsidR="00DE7438">
        <w:rPr>
          <w:rFonts w:cs="Arial"/>
        </w:rPr>
        <w:t>firewood is used by the majority of rural households, whereas kerosene and charcoal are used most in urban areas.</w:t>
      </w:r>
      <w:r w:rsidR="00DE7438">
        <w:rPr>
          <w:rStyle w:val="FootnoteReference"/>
          <w:rFonts w:cs="Arial"/>
        </w:rPr>
        <w:footnoteReference w:id="3"/>
      </w:r>
      <w:r w:rsidR="00DE7438">
        <w:rPr>
          <w:rFonts w:cs="Arial"/>
        </w:rPr>
        <w:t xml:space="preserve"> </w:t>
      </w:r>
      <w:r w:rsidR="000668EE">
        <w:rPr>
          <w:rFonts w:cs="Arial"/>
        </w:rPr>
        <w:t>The demand for wood fuel is frequently higher than the supply, as resources are depleted faster than they are replenished, and because of inefficient methods of charcoal production and consumption.</w:t>
      </w:r>
      <w:r w:rsidR="000668EE">
        <w:rPr>
          <w:rStyle w:val="FootnoteReference"/>
          <w:rFonts w:cs="Arial"/>
        </w:rPr>
        <w:footnoteReference w:id="4"/>
      </w:r>
      <w:r w:rsidR="000668EE">
        <w:rPr>
          <w:rFonts w:cs="Arial"/>
        </w:rPr>
        <w:t xml:space="preserve"> Next to the financial- and time- burden on families of relying on inefficient cook stoves, the use of biomass with basic cooking devices causes major health issues, disproportionally affecting women and children.</w:t>
      </w:r>
      <w:r w:rsidR="000668EE">
        <w:rPr>
          <w:rStyle w:val="FootnoteReference"/>
          <w:rFonts w:cs="Arial"/>
        </w:rPr>
        <w:footnoteReference w:id="5"/>
      </w:r>
      <w:r w:rsidR="000632B5">
        <w:rPr>
          <w:rFonts w:cs="Arial"/>
        </w:rPr>
        <w:t xml:space="preserve"> </w:t>
      </w:r>
      <w:r w:rsidR="00DE7438">
        <w:rPr>
          <w:rFonts w:cs="Arial"/>
        </w:rPr>
        <w:t>Meals are normally prepared by women, in a hut separate from the main house. Using traditional practices, cookstoves are able to both generate high intensity heat for boiling, and low intensity heat for simmering. Moreover, cookstoves are used all day and during all types of weather.</w:t>
      </w:r>
      <w:r w:rsidR="00DE7438">
        <w:rPr>
          <w:rStyle w:val="FootnoteReference"/>
          <w:rFonts w:cs="Arial"/>
        </w:rPr>
        <w:footnoteReference w:id="6"/>
      </w:r>
      <w:r w:rsidR="00DE7438">
        <w:rPr>
          <w:rFonts w:cs="Arial"/>
        </w:rPr>
        <w:t xml:space="preserve">  </w:t>
      </w:r>
      <w:r w:rsidR="007F0228">
        <w:rPr>
          <w:rFonts w:cs="Arial"/>
        </w:rPr>
        <w:t>Most rural households use traditional 3-stone fireplaces for cooking, and/or different types of improved firewood cooking stoves.</w:t>
      </w:r>
      <w:r w:rsidR="007F0228">
        <w:rPr>
          <w:rStyle w:val="FootnoteReference"/>
          <w:rFonts w:cs="Arial"/>
        </w:rPr>
        <w:footnoteReference w:id="7"/>
      </w:r>
      <w:r w:rsidR="007F0228">
        <w:rPr>
          <w:rFonts w:cs="Arial"/>
        </w:rPr>
        <w:t xml:space="preserve"> </w:t>
      </w:r>
    </w:p>
    <w:p w14:paraId="72554AA9" w14:textId="77777777" w:rsidR="000668EE" w:rsidRDefault="000668EE" w:rsidP="00985346">
      <w:pPr>
        <w:rPr>
          <w:rFonts w:cs="Arial"/>
        </w:rPr>
      </w:pPr>
    </w:p>
    <w:p w14:paraId="4D1E37D8" w14:textId="77777777" w:rsidR="00985346" w:rsidRDefault="00985346" w:rsidP="00985346">
      <w:pPr>
        <w:pStyle w:val="SDMTableBoxParaNumbered"/>
        <w:rPr>
          <w:u w:val="single"/>
        </w:rPr>
      </w:pPr>
    </w:p>
    <w:p w14:paraId="1B513C74" w14:textId="77777777" w:rsidR="00985346" w:rsidRDefault="00985346" w:rsidP="00985346">
      <w:pPr>
        <w:pStyle w:val="SDMTableBoxParaNumbered"/>
        <w:rPr>
          <w:u w:val="single"/>
        </w:rPr>
      </w:pPr>
    </w:p>
    <w:p w14:paraId="1688DF99" w14:textId="77777777" w:rsidR="002342C5" w:rsidRDefault="00985346" w:rsidP="00985346">
      <w:pPr>
        <w:pStyle w:val="SDMTableBoxParaNumbered"/>
        <w:rPr>
          <w:sz w:val="22"/>
          <w:u w:val="single"/>
        </w:rPr>
      </w:pPr>
      <w:r w:rsidRPr="00272F89">
        <w:rPr>
          <w:sz w:val="22"/>
          <w:u w:val="single"/>
        </w:rPr>
        <w:lastRenderedPageBreak/>
        <w:t>The estimates of annual average and total GHG emission reductions for the chosen crediting period</w:t>
      </w:r>
      <w:r w:rsidRPr="00985346">
        <w:rPr>
          <w:sz w:val="22"/>
          <w:u w:val="single"/>
        </w:rPr>
        <w:t xml:space="preserve"> </w:t>
      </w:r>
    </w:p>
    <w:p w14:paraId="1BF69F91" w14:textId="77777777" w:rsidR="00215D00" w:rsidRPr="00215D00" w:rsidRDefault="00B53A36" w:rsidP="00C522FC">
      <w:pPr>
        <w:pStyle w:val="Caption"/>
        <w:ind w:hanging="1956"/>
        <w:rPr>
          <w:i/>
        </w:rPr>
      </w:pPr>
      <w:r>
        <w:t xml:space="preserve">Table </w:t>
      </w:r>
      <w:r w:rsidR="00386F9E">
        <w:fldChar w:fldCharType="begin"/>
      </w:r>
      <w:r>
        <w:instrText xml:space="preserve"> SEQ Table \* ARABIC </w:instrText>
      </w:r>
      <w:r w:rsidR="00386F9E">
        <w:fldChar w:fldCharType="separate"/>
      </w:r>
      <w:r w:rsidR="00FE38F8">
        <w:rPr>
          <w:noProof/>
        </w:rPr>
        <w:t>1</w:t>
      </w:r>
      <w:r w:rsidR="00386F9E">
        <w:fldChar w:fldCharType="end"/>
      </w:r>
      <w:r>
        <w:t xml:space="preserve"> </w:t>
      </w:r>
      <w:r w:rsidR="00215D00" w:rsidRPr="00C522FC">
        <w:rPr>
          <w:b w:val="0"/>
          <w:i/>
        </w:rPr>
        <w:t>Estimated annual average GHG emission reductions</w:t>
      </w:r>
      <w:r w:rsidR="00215D00" w:rsidRPr="00215D00">
        <w:rPr>
          <w:i/>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bottom w:w="23" w:type="dxa"/>
        </w:tblCellMar>
        <w:tblLook w:val="0020" w:firstRow="1" w:lastRow="0" w:firstColumn="0" w:lastColumn="0" w:noHBand="0" w:noVBand="0"/>
      </w:tblPr>
      <w:tblGrid>
        <w:gridCol w:w="4814"/>
        <w:gridCol w:w="4815"/>
      </w:tblGrid>
      <w:tr w:rsidR="002342C5" w:rsidRPr="004F7C48" w14:paraId="3B4A9E36" w14:textId="77777777" w:rsidTr="001C250B">
        <w:trPr>
          <w:cantSplit/>
          <w:jc w:val="center"/>
        </w:trPr>
        <w:tc>
          <w:tcPr>
            <w:tcW w:w="5000" w:type="pct"/>
            <w:gridSpan w:val="2"/>
            <w:tcBorders>
              <w:bottom w:val="single" w:sz="4" w:space="0" w:color="auto"/>
            </w:tcBorders>
            <w:shd w:val="clear" w:color="auto" w:fill="D9D9D9"/>
            <w:vAlign w:val="center"/>
          </w:tcPr>
          <w:p w14:paraId="5F542CE1" w14:textId="77777777" w:rsidR="002342C5" w:rsidRPr="004F7C48" w:rsidRDefault="002342C5" w:rsidP="001C250B">
            <w:pPr>
              <w:pStyle w:val="SDMTableBoxParaNotNumbered"/>
            </w:pPr>
            <w:r w:rsidRPr="004F7C48">
              <w:t>Emission reductions during the crediting period</w:t>
            </w:r>
          </w:p>
        </w:tc>
      </w:tr>
      <w:tr w:rsidR="002342C5" w:rsidRPr="004F7C48" w14:paraId="3A672C81" w14:textId="77777777" w:rsidTr="001C250B">
        <w:trPr>
          <w:cantSplit/>
          <w:trHeight w:val="630"/>
          <w:jc w:val="center"/>
        </w:trPr>
        <w:tc>
          <w:tcPr>
            <w:tcW w:w="2500" w:type="pct"/>
            <w:shd w:val="clear" w:color="auto" w:fill="D9D9D9"/>
            <w:vAlign w:val="center"/>
          </w:tcPr>
          <w:p w14:paraId="38A45BBA" w14:textId="77777777" w:rsidR="002342C5" w:rsidRPr="004F7C48" w:rsidRDefault="002342C5" w:rsidP="001C250B">
            <w:pPr>
              <w:pStyle w:val="SDMTableBoxParaNotNumbered"/>
            </w:pPr>
            <w:r w:rsidRPr="004F7C48">
              <w:t>Years</w:t>
            </w:r>
          </w:p>
        </w:tc>
        <w:tc>
          <w:tcPr>
            <w:tcW w:w="2500" w:type="pct"/>
            <w:shd w:val="clear" w:color="auto" w:fill="D9D9D9"/>
            <w:vAlign w:val="center"/>
          </w:tcPr>
          <w:p w14:paraId="145FCDCF" w14:textId="77777777" w:rsidR="002342C5" w:rsidRPr="004F7C48" w:rsidRDefault="002342C5" w:rsidP="001C250B">
            <w:pPr>
              <w:pStyle w:val="SDMTableBoxParaNotNumbered"/>
            </w:pPr>
            <w:r w:rsidRPr="004F7C48">
              <w:t xml:space="preserve">Annual GHG emission reductions </w:t>
            </w:r>
            <w:r w:rsidRPr="004F7C48">
              <w:br/>
              <w:t>(in tonnes of CO</w:t>
            </w:r>
            <w:r w:rsidRPr="004F7C48">
              <w:rPr>
                <w:vertAlign w:val="subscript"/>
              </w:rPr>
              <w:t>2</w:t>
            </w:r>
            <w:r w:rsidRPr="004F7C48">
              <w:t>e) for each year</w:t>
            </w:r>
          </w:p>
        </w:tc>
      </w:tr>
      <w:tr w:rsidR="00F1663A" w:rsidRPr="004F7C48" w14:paraId="4305BDFD" w14:textId="77777777" w:rsidTr="00FE38F8">
        <w:trPr>
          <w:cantSplit/>
          <w:jc w:val="center"/>
        </w:trPr>
        <w:tc>
          <w:tcPr>
            <w:tcW w:w="2500" w:type="pct"/>
            <w:shd w:val="clear" w:color="auto" w:fill="auto"/>
          </w:tcPr>
          <w:p w14:paraId="23233472" w14:textId="77777777" w:rsidR="00F1663A" w:rsidRPr="004F7C48" w:rsidRDefault="00F1663A" w:rsidP="00F1663A">
            <w:pPr>
              <w:pStyle w:val="SDMTableBoxParaNotNumbered"/>
              <w:jc w:val="center"/>
            </w:pPr>
            <w:r>
              <w:t>2016</w:t>
            </w:r>
          </w:p>
        </w:tc>
        <w:tc>
          <w:tcPr>
            <w:tcW w:w="2500" w:type="pct"/>
            <w:shd w:val="clear" w:color="auto" w:fill="auto"/>
            <w:vAlign w:val="center"/>
          </w:tcPr>
          <w:p w14:paraId="189FBC41" w14:textId="77777777" w:rsidR="00F1663A" w:rsidRPr="00DA1E18" w:rsidRDefault="00F1663A" w:rsidP="00F1663A">
            <w:pPr>
              <w:pStyle w:val="SDMTableBoxParaNotNumbered"/>
              <w:jc w:val="center"/>
            </w:pPr>
            <w:r>
              <w:rPr>
                <w:rFonts w:cs="Arial"/>
              </w:rPr>
              <w:t xml:space="preserve">      29,493 </w:t>
            </w:r>
          </w:p>
        </w:tc>
      </w:tr>
      <w:tr w:rsidR="00F1663A" w:rsidRPr="004F7C48" w14:paraId="368CA77C" w14:textId="77777777" w:rsidTr="00FE38F8">
        <w:trPr>
          <w:cantSplit/>
          <w:jc w:val="center"/>
        </w:trPr>
        <w:tc>
          <w:tcPr>
            <w:tcW w:w="2500" w:type="pct"/>
            <w:shd w:val="clear" w:color="auto" w:fill="auto"/>
          </w:tcPr>
          <w:p w14:paraId="4E566B7A" w14:textId="77777777" w:rsidR="00F1663A" w:rsidRPr="004F7C48" w:rsidRDefault="00F1663A" w:rsidP="00F1663A">
            <w:pPr>
              <w:pStyle w:val="SDMTableBoxParaNotNumbered"/>
              <w:jc w:val="center"/>
            </w:pPr>
            <w:r>
              <w:t>2017</w:t>
            </w:r>
          </w:p>
        </w:tc>
        <w:tc>
          <w:tcPr>
            <w:tcW w:w="2500" w:type="pct"/>
            <w:shd w:val="clear" w:color="auto" w:fill="auto"/>
            <w:vAlign w:val="center"/>
          </w:tcPr>
          <w:p w14:paraId="6465F59E" w14:textId="77777777" w:rsidR="00F1663A" w:rsidRPr="00DA1E18" w:rsidRDefault="00F1663A" w:rsidP="00F1663A">
            <w:pPr>
              <w:pStyle w:val="SDMTableBoxParaNotNumbered"/>
              <w:jc w:val="center"/>
            </w:pPr>
            <w:r>
              <w:rPr>
                <w:rFonts w:cs="Arial"/>
              </w:rPr>
              <w:t xml:space="preserve">      34,168 </w:t>
            </w:r>
          </w:p>
        </w:tc>
      </w:tr>
      <w:tr w:rsidR="00F1663A" w:rsidRPr="004F7C48" w14:paraId="36F13159" w14:textId="77777777" w:rsidTr="00FE38F8">
        <w:trPr>
          <w:cantSplit/>
          <w:jc w:val="center"/>
        </w:trPr>
        <w:tc>
          <w:tcPr>
            <w:tcW w:w="2500" w:type="pct"/>
            <w:shd w:val="clear" w:color="auto" w:fill="auto"/>
          </w:tcPr>
          <w:p w14:paraId="4D0207E7" w14:textId="77777777" w:rsidR="00F1663A" w:rsidRPr="004F7C48" w:rsidRDefault="00F1663A" w:rsidP="00F1663A">
            <w:pPr>
              <w:pStyle w:val="SDMTableBoxParaNotNumbered"/>
              <w:jc w:val="center"/>
            </w:pPr>
            <w:r>
              <w:t>2018</w:t>
            </w:r>
          </w:p>
        </w:tc>
        <w:tc>
          <w:tcPr>
            <w:tcW w:w="2500" w:type="pct"/>
            <w:shd w:val="clear" w:color="auto" w:fill="auto"/>
            <w:vAlign w:val="center"/>
          </w:tcPr>
          <w:p w14:paraId="61F60A2C" w14:textId="77777777" w:rsidR="00F1663A" w:rsidRPr="00D479EA" w:rsidRDefault="00F1663A" w:rsidP="00F1663A">
            <w:pPr>
              <w:pStyle w:val="SDMTableBoxParaNotNumbered"/>
              <w:jc w:val="center"/>
            </w:pPr>
            <w:r>
              <w:rPr>
                <w:rFonts w:cs="Arial"/>
              </w:rPr>
              <w:t xml:space="preserve">      34,851 </w:t>
            </w:r>
          </w:p>
        </w:tc>
      </w:tr>
      <w:tr w:rsidR="00F1663A" w:rsidRPr="004F7C48" w14:paraId="0EBBE69D" w14:textId="77777777" w:rsidTr="00FE38F8">
        <w:trPr>
          <w:cantSplit/>
          <w:jc w:val="center"/>
        </w:trPr>
        <w:tc>
          <w:tcPr>
            <w:tcW w:w="2500" w:type="pct"/>
            <w:tcBorders>
              <w:bottom w:val="single" w:sz="4" w:space="0" w:color="auto"/>
            </w:tcBorders>
            <w:shd w:val="clear" w:color="auto" w:fill="auto"/>
          </w:tcPr>
          <w:p w14:paraId="5DFEE45E" w14:textId="77777777" w:rsidR="00F1663A" w:rsidRPr="004F7C48" w:rsidRDefault="00F1663A" w:rsidP="00F1663A">
            <w:pPr>
              <w:pStyle w:val="SDMTableBoxParaNotNumbered"/>
              <w:jc w:val="center"/>
            </w:pPr>
            <w:r>
              <w:t>2019</w:t>
            </w:r>
          </w:p>
        </w:tc>
        <w:tc>
          <w:tcPr>
            <w:tcW w:w="2500" w:type="pct"/>
            <w:shd w:val="clear" w:color="auto" w:fill="auto"/>
            <w:vAlign w:val="center"/>
          </w:tcPr>
          <w:p w14:paraId="168BDD77" w14:textId="77777777" w:rsidR="00F1663A" w:rsidRPr="00D479EA" w:rsidRDefault="00F1663A" w:rsidP="00F1663A">
            <w:pPr>
              <w:pStyle w:val="SDMTableBoxParaNotNumbered"/>
              <w:jc w:val="center"/>
            </w:pPr>
            <w:r>
              <w:rPr>
                <w:rFonts w:cs="Arial"/>
              </w:rPr>
              <w:t xml:space="preserve">      34,851 </w:t>
            </w:r>
          </w:p>
        </w:tc>
      </w:tr>
      <w:tr w:rsidR="00F1663A" w:rsidRPr="004F7C48" w14:paraId="480824B5" w14:textId="77777777" w:rsidTr="00FE38F8">
        <w:trPr>
          <w:cantSplit/>
          <w:jc w:val="center"/>
        </w:trPr>
        <w:tc>
          <w:tcPr>
            <w:tcW w:w="2500" w:type="pct"/>
            <w:tcBorders>
              <w:bottom w:val="single" w:sz="4" w:space="0" w:color="auto"/>
            </w:tcBorders>
            <w:shd w:val="clear" w:color="auto" w:fill="auto"/>
          </w:tcPr>
          <w:p w14:paraId="598ADA58" w14:textId="77777777" w:rsidR="00F1663A" w:rsidRDefault="00F1663A" w:rsidP="00F1663A">
            <w:pPr>
              <w:pStyle w:val="SDMTableBoxParaNotNumbered"/>
              <w:jc w:val="center"/>
            </w:pPr>
            <w:r>
              <w:t>2020</w:t>
            </w:r>
          </w:p>
        </w:tc>
        <w:tc>
          <w:tcPr>
            <w:tcW w:w="2500" w:type="pct"/>
            <w:shd w:val="clear" w:color="auto" w:fill="auto"/>
            <w:vAlign w:val="center"/>
          </w:tcPr>
          <w:p w14:paraId="3EE73C7C" w14:textId="77777777" w:rsidR="00F1663A" w:rsidRPr="00D479EA" w:rsidRDefault="00F1663A" w:rsidP="00F1663A">
            <w:pPr>
              <w:pStyle w:val="SDMTableBoxParaNotNumbered"/>
              <w:jc w:val="center"/>
            </w:pPr>
            <w:r>
              <w:rPr>
                <w:rFonts w:cs="Arial"/>
              </w:rPr>
              <w:t xml:space="preserve">      34,851 </w:t>
            </w:r>
          </w:p>
        </w:tc>
      </w:tr>
      <w:tr w:rsidR="00F1663A" w:rsidRPr="004F7C48" w14:paraId="0933FE18" w14:textId="77777777" w:rsidTr="00FE38F8">
        <w:trPr>
          <w:cantSplit/>
          <w:jc w:val="center"/>
        </w:trPr>
        <w:tc>
          <w:tcPr>
            <w:tcW w:w="2500" w:type="pct"/>
            <w:tcBorders>
              <w:bottom w:val="single" w:sz="4" w:space="0" w:color="auto"/>
            </w:tcBorders>
            <w:shd w:val="clear" w:color="auto" w:fill="auto"/>
          </w:tcPr>
          <w:p w14:paraId="7B750E6A" w14:textId="77777777" w:rsidR="00F1663A" w:rsidRDefault="00F1663A" w:rsidP="00F1663A">
            <w:pPr>
              <w:pStyle w:val="SDMTableBoxParaNotNumbered"/>
              <w:jc w:val="center"/>
            </w:pPr>
            <w:r>
              <w:t>2021</w:t>
            </w:r>
          </w:p>
        </w:tc>
        <w:tc>
          <w:tcPr>
            <w:tcW w:w="2500" w:type="pct"/>
            <w:shd w:val="clear" w:color="auto" w:fill="auto"/>
            <w:vAlign w:val="center"/>
          </w:tcPr>
          <w:p w14:paraId="54B6F078" w14:textId="77777777" w:rsidR="00F1663A" w:rsidRPr="00DA1E18" w:rsidRDefault="00F1663A" w:rsidP="00F1663A">
            <w:pPr>
              <w:pStyle w:val="SDMTableBoxParaNotNumbered"/>
              <w:jc w:val="center"/>
            </w:pPr>
            <w:r>
              <w:rPr>
                <w:rFonts w:cs="Arial"/>
              </w:rPr>
              <w:t xml:space="preserve">      34,851 </w:t>
            </w:r>
          </w:p>
        </w:tc>
      </w:tr>
      <w:tr w:rsidR="00F1663A" w:rsidRPr="004F7C48" w14:paraId="13B65AE6" w14:textId="77777777" w:rsidTr="00FE38F8">
        <w:trPr>
          <w:cantSplit/>
          <w:jc w:val="center"/>
        </w:trPr>
        <w:tc>
          <w:tcPr>
            <w:tcW w:w="2500" w:type="pct"/>
            <w:tcBorders>
              <w:bottom w:val="single" w:sz="4" w:space="0" w:color="auto"/>
            </w:tcBorders>
            <w:shd w:val="clear" w:color="auto" w:fill="auto"/>
          </w:tcPr>
          <w:p w14:paraId="2AA791AC" w14:textId="77777777" w:rsidR="00F1663A" w:rsidRDefault="00F1663A" w:rsidP="00F1663A">
            <w:pPr>
              <w:pStyle w:val="SDMTableBoxParaNotNumbered"/>
              <w:jc w:val="center"/>
            </w:pPr>
            <w:r>
              <w:t>2022</w:t>
            </w:r>
          </w:p>
        </w:tc>
        <w:tc>
          <w:tcPr>
            <w:tcW w:w="2500" w:type="pct"/>
            <w:shd w:val="clear" w:color="auto" w:fill="auto"/>
            <w:vAlign w:val="center"/>
          </w:tcPr>
          <w:p w14:paraId="798C3ABD" w14:textId="77777777" w:rsidR="00F1663A" w:rsidRPr="00DA1E18" w:rsidRDefault="00F1663A" w:rsidP="00F1663A">
            <w:pPr>
              <w:pStyle w:val="SDMTableBoxParaNotNumbered"/>
              <w:jc w:val="center"/>
            </w:pPr>
            <w:r>
              <w:rPr>
                <w:rFonts w:cs="Arial"/>
              </w:rPr>
              <w:t xml:space="preserve">      34,851 </w:t>
            </w:r>
          </w:p>
        </w:tc>
      </w:tr>
      <w:tr w:rsidR="00F1663A" w:rsidRPr="004F7C48" w14:paraId="5B9804BB" w14:textId="77777777" w:rsidTr="00FE38F8">
        <w:trPr>
          <w:cantSplit/>
          <w:jc w:val="center"/>
        </w:trPr>
        <w:tc>
          <w:tcPr>
            <w:tcW w:w="2500" w:type="pct"/>
            <w:tcBorders>
              <w:bottom w:val="single" w:sz="4" w:space="0" w:color="auto"/>
            </w:tcBorders>
            <w:shd w:val="clear" w:color="auto" w:fill="auto"/>
          </w:tcPr>
          <w:p w14:paraId="55C9F54E" w14:textId="77777777" w:rsidR="00F1663A" w:rsidRDefault="00F1663A" w:rsidP="00F1663A">
            <w:pPr>
              <w:pStyle w:val="SDMTableBoxParaNotNumbered"/>
              <w:jc w:val="center"/>
            </w:pPr>
            <w:r>
              <w:t>2023</w:t>
            </w:r>
          </w:p>
        </w:tc>
        <w:tc>
          <w:tcPr>
            <w:tcW w:w="2500" w:type="pct"/>
            <w:shd w:val="clear" w:color="auto" w:fill="auto"/>
            <w:vAlign w:val="center"/>
          </w:tcPr>
          <w:p w14:paraId="3FD4A3AD" w14:textId="77777777" w:rsidR="00F1663A" w:rsidRPr="00DA1E18" w:rsidRDefault="00F1663A" w:rsidP="00F1663A">
            <w:pPr>
              <w:pStyle w:val="SDMTableBoxParaNotNumbered"/>
              <w:jc w:val="center"/>
              <w:rPr>
                <w:rFonts w:cs="Arial"/>
              </w:rPr>
            </w:pPr>
            <w:r>
              <w:rPr>
                <w:rFonts w:cs="Arial"/>
              </w:rPr>
              <w:t xml:space="preserve">      34,851 </w:t>
            </w:r>
          </w:p>
        </w:tc>
      </w:tr>
      <w:tr w:rsidR="002342C5" w:rsidRPr="004F7C48" w14:paraId="6C6C232C" w14:textId="77777777" w:rsidTr="001C250B">
        <w:trPr>
          <w:cantSplit/>
          <w:jc w:val="center"/>
        </w:trPr>
        <w:tc>
          <w:tcPr>
            <w:tcW w:w="2500" w:type="pct"/>
            <w:shd w:val="clear" w:color="auto" w:fill="D9D9D9"/>
          </w:tcPr>
          <w:p w14:paraId="71FA4E73" w14:textId="77777777" w:rsidR="002342C5" w:rsidRPr="004F7C48" w:rsidRDefault="002342C5" w:rsidP="001C250B">
            <w:pPr>
              <w:pStyle w:val="SDMTableBoxParaNotNumbered"/>
            </w:pPr>
            <w:r w:rsidRPr="004F7C48">
              <w:t>Total number of crediting years</w:t>
            </w:r>
          </w:p>
        </w:tc>
        <w:tc>
          <w:tcPr>
            <w:tcW w:w="2500" w:type="pct"/>
            <w:shd w:val="clear" w:color="auto" w:fill="auto"/>
          </w:tcPr>
          <w:p w14:paraId="2AA08DC9" w14:textId="77777777" w:rsidR="002342C5" w:rsidRPr="004F7C48" w:rsidRDefault="008B39FF" w:rsidP="001C250B">
            <w:pPr>
              <w:pStyle w:val="SDMTableBoxParaNotNumbered"/>
              <w:jc w:val="center"/>
            </w:pPr>
            <w:r>
              <w:t>7 (renewable twice)</w:t>
            </w:r>
          </w:p>
        </w:tc>
      </w:tr>
      <w:tr w:rsidR="002342C5" w:rsidRPr="004F7C48" w14:paraId="5D2A6CE5" w14:textId="77777777" w:rsidTr="001C250B">
        <w:trPr>
          <w:cantSplit/>
          <w:jc w:val="center"/>
        </w:trPr>
        <w:tc>
          <w:tcPr>
            <w:tcW w:w="2500" w:type="pct"/>
            <w:shd w:val="clear" w:color="auto" w:fill="D9D9D9"/>
          </w:tcPr>
          <w:p w14:paraId="0B8E2FF2" w14:textId="77777777" w:rsidR="002342C5" w:rsidRPr="004F7C48" w:rsidRDefault="002342C5" w:rsidP="001C250B">
            <w:pPr>
              <w:pStyle w:val="SDMTableBoxParaNotNumbered"/>
            </w:pPr>
            <w:r w:rsidRPr="004F7C48">
              <w:t xml:space="preserve">Annual average GHG emission </w:t>
            </w:r>
            <w:r w:rsidRPr="004F7C48">
              <w:br/>
              <w:t>reductions over the crediting period</w:t>
            </w:r>
          </w:p>
        </w:tc>
        <w:tc>
          <w:tcPr>
            <w:tcW w:w="2500" w:type="pct"/>
            <w:shd w:val="clear" w:color="auto" w:fill="auto"/>
            <w:vAlign w:val="bottom"/>
          </w:tcPr>
          <w:p w14:paraId="68D20C30" w14:textId="77777777" w:rsidR="002342C5" w:rsidRPr="00F1663A" w:rsidRDefault="00F1663A" w:rsidP="00F1663A">
            <w:pPr>
              <w:jc w:val="center"/>
              <w:rPr>
                <w:rFonts w:cs="Arial"/>
                <w:sz w:val="20"/>
                <w:lang w:val="nl-NL" w:eastAsia="nl-NL"/>
              </w:rPr>
            </w:pPr>
            <w:r>
              <w:rPr>
                <w:rFonts w:cs="Arial"/>
                <w:sz w:val="20"/>
              </w:rPr>
              <w:t xml:space="preserve">      38,966 </w:t>
            </w:r>
          </w:p>
        </w:tc>
      </w:tr>
      <w:tr w:rsidR="002342C5" w:rsidRPr="004F7C48" w14:paraId="33913732" w14:textId="77777777" w:rsidTr="001C250B">
        <w:trPr>
          <w:cantSplit/>
          <w:jc w:val="center"/>
        </w:trPr>
        <w:tc>
          <w:tcPr>
            <w:tcW w:w="2500" w:type="pct"/>
            <w:shd w:val="clear" w:color="auto" w:fill="D9D9D9"/>
          </w:tcPr>
          <w:p w14:paraId="3FA076C4" w14:textId="77777777" w:rsidR="002342C5" w:rsidRPr="004F7C48" w:rsidRDefault="002342C5" w:rsidP="001C250B">
            <w:pPr>
              <w:pStyle w:val="SDMTableBoxParaNotNumbered"/>
            </w:pPr>
            <w:r w:rsidRPr="004F7C48">
              <w:t>Total estimated reductions (tonnes of CO</w:t>
            </w:r>
            <w:r w:rsidRPr="004F7C48">
              <w:rPr>
                <w:vertAlign w:val="subscript"/>
              </w:rPr>
              <w:t>2</w:t>
            </w:r>
            <w:r w:rsidRPr="004F7C48">
              <w:t>e)</w:t>
            </w:r>
          </w:p>
        </w:tc>
        <w:tc>
          <w:tcPr>
            <w:tcW w:w="2500" w:type="pct"/>
            <w:shd w:val="clear" w:color="auto" w:fill="auto"/>
          </w:tcPr>
          <w:p w14:paraId="09F9146C" w14:textId="77777777" w:rsidR="002342C5" w:rsidRPr="00F1663A" w:rsidRDefault="00F1663A" w:rsidP="00F1663A">
            <w:pPr>
              <w:jc w:val="center"/>
              <w:rPr>
                <w:rFonts w:cs="Arial"/>
                <w:b/>
                <w:bCs/>
                <w:sz w:val="20"/>
                <w:lang w:val="nl-NL" w:eastAsia="nl-NL"/>
              </w:rPr>
            </w:pPr>
            <w:r>
              <w:rPr>
                <w:rFonts w:cs="Arial"/>
                <w:b/>
                <w:bCs/>
                <w:sz w:val="20"/>
              </w:rPr>
              <w:t xml:space="preserve">     272,764 </w:t>
            </w:r>
          </w:p>
        </w:tc>
      </w:tr>
    </w:tbl>
    <w:p w14:paraId="64FF4956" w14:textId="77777777" w:rsidR="002342C5" w:rsidRPr="00985346" w:rsidRDefault="002342C5" w:rsidP="00985346">
      <w:pPr>
        <w:pStyle w:val="SDMTableBoxParaNumbered"/>
        <w:rPr>
          <w:sz w:val="22"/>
          <w:u w:val="single"/>
        </w:rPr>
      </w:pPr>
    </w:p>
    <w:p w14:paraId="30AD4FB8" w14:textId="77777777" w:rsidR="00985346" w:rsidRDefault="00985346" w:rsidP="00985346">
      <w:pPr>
        <w:pStyle w:val="SDMTableBoxParaNumbered"/>
        <w:rPr>
          <w:u w:val="single"/>
        </w:rPr>
      </w:pPr>
    </w:p>
    <w:p w14:paraId="03D819C4" w14:textId="77777777" w:rsidR="00CE09E9" w:rsidRPr="000C7CA3" w:rsidRDefault="00CE09E9" w:rsidP="00CE09E9">
      <w:pPr>
        <w:pStyle w:val="SDMPDDPoASubSection1"/>
        <w:numPr>
          <w:ilvl w:val="2"/>
          <w:numId w:val="12"/>
        </w:numPr>
        <w:tabs>
          <w:tab w:val="clear" w:pos="1474"/>
        </w:tabs>
        <w:ind w:left="709" w:hanging="709"/>
      </w:pPr>
      <w:r w:rsidRPr="000C7CA3">
        <w:tab/>
      </w:r>
      <w:r w:rsidR="00004BD2">
        <w:t xml:space="preserve">Location </w:t>
      </w:r>
      <w:r w:rsidR="004E14D5">
        <w:t xml:space="preserve">of </w:t>
      </w:r>
      <w:r w:rsidR="006C4F9A">
        <w:t>V</w:t>
      </w:r>
      <w:r w:rsidR="00BF22DE">
        <w:t>PA</w:t>
      </w:r>
    </w:p>
    <w:p w14:paraId="14613877" w14:textId="77777777" w:rsidR="00CE09E9" w:rsidRPr="000C7CA3" w:rsidRDefault="00CE09E9" w:rsidP="00CE09E9">
      <w:pPr>
        <w:rPr>
          <w:rFonts w:cs="Arial"/>
          <w:lang w:eastAsia="en-US"/>
        </w:rPr>
      </w:pPr>
      <w:r w:rsidRPr="000C7CA3">
        <w:rPr>
          <w:rFonts w:cs="Arial"/>
          <w:lang w:eastAsia="en-US"/>
        </w:rPr>
        <w:t>&gt;&gt;</w:t>
      </w:r>
    </w:p>
    <w:p w14:paraId="70BFF2E9" w14:textId="77777777" w:rsidR="005E608C" w:rsidRDefault="005E608C" w:rsidP="006B07A7">
      <w:pPr>
        <w:rPr>
          <w:rFonts w:cs="Arial"/>
          <w:lang w:eastAsia="en-US"/>
        </w:rPr>
      </w:pPr>
    </w:p>
    <w:p w14:paraId="0ED6D201" w14:textId="77777777" w:rsidR="006971E6" w:rsidRPr="0003707C" w:rsidRDefault="003841E6" w:rsidP="006971E6">
      <w:pPr>
        <w:rPr>
          <w:rFonts w:cs="Arial"/>
        </w:rPr>
      </w:pPr>
      <w:bookmarkStart w:id="4" w:name="_Hlk494373823"/>
      <w:r>
        <w:rPr>
          <w:rFonts w:cs="Arial"/>
          <w:lang w:eastAsia="en-US"/>
        </w:rPr>
        <w:t>This VPA will disseminate biogas systems over the entire territory of Kenya.</w:t>
      </w:r>
      <w:r w:rsidR="006971E6">
        <w:rPr>
          <w:rFonts w:cs="Arial"/>
          <w:lang w:eastAsia="en-US"/>
        </w:rPr>
        <w:t xml:space="preserve"> </w:t>
      </w:r>
      <w:r w:rsidR="006971E6" w:rsidRPr="0003707C">
        <w:rPr>
          <w:rFonts w:cs="Arial"/>
        </w:rPr>
        <w:t xml:space="preserve">The primary means to uniquely identify the activities under the VPA is by means of buyer information collected through </w:t>
      </w:r>
      <w:r w:rsidR="003B566B">
        <w:rPr>
          <w:rFonts w:cs="Arial"/>
        </w:rPr>
        <w:t>a mobile phone application known as Taro works which relays collected data to Salesforce, an online cloud based archive</w:t>
      </w:r>
      <w:r w:rsidR="006971E6" w:rsidRPr="0003707C">
        <w:rPr>
          <w:rFonts w:cs="Arial"/>
        </w:rPr>
        <w:t xml:space="preserve">. </w:t>
      </w:r>
      <w:r w:rsidR="00272F89">
        <w:rPr>
          <w:rFonts w:cs="Arial"/>
        </w:rPr>
        <w:t>Information on S</w:t>
      </w:r>
      <w:r w:rsidR="003B566B">
        <w:rPr>
          <w:rFonts w:cs="Arial"/>
        </w:rPr>
        <w:t xml:space="preserve">alesforce is then imported in a excel sheet that is used for data analysis. </w:t>
      </w:r>
      <w:r w:rsidR="003B566B" w:rsidRPr="0003707C">
        <w:rPr>
          <w:rFonts w:cs="Arial"/>
        </w:rPr>
        <w:t>Th</w:t>
      </w:r>
      <w:r w:rsidR="003B566B">
        <w:rPr>
          <w:rFonts w:cs="Arial"/>
        </w:rPr>
        <w:t>e information</w:t>
      </w:r>
      <w:r w:rsidR="003B566B" w:rsidRPr="0003707C">
        <w:rPr>
          <w:rFonts w:cs="Arial"/>
        </w:rPr>
        <w:t xml:space="preserve"> </w:t>
      </w:r>
      <w:r w:rsidR="006971E6" w:rsidRPr="0003707C">
        <w:rPr>
          <w:rFonts w:cs="Arial"/>
        </w:rPr>
        <w:t>include</w:t>
      </w:r>
      <w:r w:rsidR="003B566B">
        <w:rPr>
          <w:rFonts w:cs="Arial"/>
        </w:rPr>
        <w:t>s</w:t>
      </w:r>
      <w:r w:rsidR="006971E6" w:rsidRPr="0003707C">
        <w:rPr>
          <w:rFonts w:cs="Arial"/>
        </w:rPr>
        <w:t xml:space="preserve"> a serial number, customer name, address, date of sale,</w:t>
      </w:r>
      <w:r w:rsidR="008B39FF">
        <w:rPr>
          <w:rFonts w:cs="Arial"/>
        </w:rPr>
        <w:t xml:space="preserve"> name of VPA implementer</w:t>
      </w:r>
      <w:r w:rsidR="006971E6" w:rsidRPr="0003707C">
        <w:rPr>
          <w:rFonts w:cs="Arial"/>
        </w:rPr>
        <w:t xml:space="preserve">, </w:t>
      </w:r>
      <w:r w:rsidR="006971E6">
        <w:rPr>
          <w:rFonts w:cs="Arial"/>
        </w:rPr>
        <w:t>biogas</w:t>
      </w:r>
      <w:r w:rsidR="0007055B">
        <w:rPr>
          <w:rFonts w:cs="Arial"/>
        </w:rPr>
        <w:t xml:space="preserve"> digester </w:t>
      </w:r>
      <w:r w:rsidR="006971E6">
        <w:rPr>
          <w:rFonts w:cs="Arial"/>
        </w:rPr>
        <w:t>model and size</w:t>
      </w:r>
      <w:bookmarkEnd w:id="4"/>
      <w:r w:rsidR="006971E6">
        <w:rPr>
          <w:rFonts w:cs="Arial"/>
        </w:rPr>
        <w:t xml:space="preserve">. </w:t>
      </w:r>
    </w:p>
    <w:p w14:paraId="62431F7E" w14:textId="77777777" w:rsidR="006971E6" w:rsidRPr="0003707C" w:rsidRDefault="006971E6" w:rsidP="006971E6">
      <w:pPr>
        <w:rPr>
          <w:rFonts w:cs="Arial"/>
        </w:rPr>
      </w:pPr>
    </w:p>
    <w:p w14:paraId="441C0847" w14:textId="7AC09962" w:rsidR="009846D2" w:rsidRDefault="00D715FE" w:rsidP="009846D2">
      <w:pPr>
        <w:rPr>
          <w:rFonts w:cs="Arial"/>
        </w:rPr>
      </w:pPr>
      <w:r w:rsidRPr="00D715FE">
        <w:rPr>
          <w:rFonts w:cs="Arial"/>
          <w:lang w:eastAsia="en-US"/>
        </w:rPr>
        <w:t>The co-ordinates of Kenya are represented approximately by: 1 00 N, 38 00 E</w:t>
      </w:r>
      <w:r>
        <w:rPr>
          <w:rStyle w:val="FootnoteReference"/>
          <w:rFonts w:cs="Arial"/>
          <w:lang w:eastAsia="en-US"/>
        </w:rPr>
        <w:footnoteReference w:id="8"/>
      </w:r>
      <w:r w:rsidR="009846D2">
        <w:rPr>
          <w:rFonts w:cs="Arial"/>
          <w:lang w:eastAsia="en-US"/>
        </w:rPr>
        <w:t xml:space="preserve">. </w:t>
      </w:r>
      <w:r w:rsidR="009846D2">
        <w:rPr>
          <w:rFonts w:cs="Arial"/>
        </w:rPr>
        <w:t>T</w:t>
      </w:r>
      <w:r w:rsidR="009846D2" w:rsidRPr="0003707C">
        <w:rPr>
          <w:rFonts w:cs="Arial"/>
        </w:rPr>
        <w:t xml:space="preserve">he VPA implementer is the </w:t>
      </w:r>
      <w:r w:rsidR="00272DB8">
        <w:rPr>
          <w:rFonts w:cs="Arial"/>
        </w:rPr>
        <w:t>Kenya Biogas Programme</w:t>
      </w:r>
      <w:r w:rsidR="009846D2" w:rsidRPr="0003707C">
        <w:rPr>
          <w:rFonts w:cs="Arial"/>
        </w:rPr>
        <w:t xml:space="preserve">. </w:t>
      </w:r>
      <w:r w:rsidR="009846D2" w:rsidRPr="00272F89">
        <w:rPr>
          <w:rFonts w:cs="Arial"/>
        </w:rPr>
        <w:t xml:space="preserve">The main offices are used to represent the physical location of the project, Along </w:t>
      </w:r>
      <w:r w:rsidR="00272DB8" w:rsidRPr="00272F89">
        <w:rPr>
          <w:rFonts w:cs="Arial"/>
        </w:rPr>
        <w:t>Lenana</w:t>
      </w:r>
      <w:r w:rsidR="009846D2" w:rsidRPr="00272F89">
        <w:rPr>
          <w:rFonts w:cs="Arial"/>
        </w:rPr>
        <w:t xml:space="preserve"> Road, </w:t>
      </w:r>
      <w:r w:rsidR="00272DB8" w:rsidRPr="00272F89">
        <w:rPr>
          <w:rFonts w:cs="Arial"/>
        </w:rPr>
        <w:t>ACS Plaza</w:t>
      </w:r>
      <w:r w:rsidR="009846D2" w:rsidRPr="00272F89">
        <w:rPr>
          <w:rFonts w:cs="Arial"/>
        </w:rPr>
        <w:t xml:space="preserve">, Nairobi, P.O. Box </w:t>
      </w:r>
      <w:r w:rsidR="00AF0B6E" w:rsidRPr="00272F89">
        <w:rPr>
          <w:rFonts w:cs="Arial"/>
        </w:rPr>
        <w:t>79875-00202 Nairobi</w:t>
      </w:r>
      <w:r w:rsidR="00AF0B6E" w:rsidRPr="00272F89" w:rsidDel="00AF0B6E">
        <w:rPr>
          <w:rFonts w:cs="Arial"/>
        </w:rPr>
        <w:t xml:space="preserve"> </w:t>
      </w:r>
      <w:r w:rsidR="009846D2" w:rsidRPr="00272F89">
        <w:rPr>
          <w:rFonts w:cs="Arial"/>
        </w:rPr>
        <w:t xml:space="preserve">Kenya. GPS Co-ordinates: </w:t>
      </w:r>
      <w:r w:rsidR="00AF0B6E" w:rsidRPr="00272F89">
        <w:rPr>
          <w:rFonts w:ascii="Arial Narrow" w:hAnsi="Arial Narrow"/>
          <w:sz w:val="24"/>
          <w:szCs w:val="24"/>
        </w:rPr>
        <w:t>S 1</w:t>
      </w:r>
      <w:r w:rsidR="00AF0B6E" w:rsidRPr="00272F89">
        <w:rPr>
          <w:rFonts w:ascii="Calibri" w:hAnsi="Calibri"/>
          <w:sz w:val="24"/>
          <w:szCs w:val="24"/>
        </w:rPr>
        <w:t xml:space="preserve"> ͦ</w:t>
      </w:r>
      <w:r w:rsidR="00AF0B6E" w:rsidRPr="00272F89">
        <w:rPr>
          <w:rFonts w:ascii="Arial Narrow" w:hAnsi="Arial Narrow"/>
          <w:sz w:val="24"/>
          <w:szCs w:val="24"/>
        </w:rPr>
        <w:t xml:space="preserve"> 17’23’’ </w:t>
      </w:r>
      <w:r w:rsidR="009846D2" w:rsidRPr="00272F89">
        <w:rPr>
          <w:rFonts w:cs="Arial"/>
        </w:rPr>
        <w:t xml:space="preserve">S, </w:t>
      </w:r>
      <w:r w:rsidR="00AF0B6E" w:rsidRPr="00272F89">
        <w:rPr>
          <w:rFonts w:ascii="Arial Narrow" w:hAnsi="Arial Narrow"/>
          <w:sz w:val="24"/>
          <w:szCs w:val="24"/>
        </w:rPr>
        <w:t xml:space="preserve">E </w:t>
      </w:r>
      <w:r w:rsidR="00163173" w:rsidRPr="00272F89">
        <w:rPr>
          <w:rFonts w:ascii="Arial Narrow" w:hAnsi="Arial Narrow"/>
          <w:sz w:val="24"/>
          <w:szCs w:val="24"/>
        </w:rPr>
        <w:t xml:space="preserve">36 </w:t>
      </w:r>
      <w:r w:rsidR="00163173" w:rsidRPr="00272F89">
        <w:rPr>
          <w:rFonts w:ascii="Calibri" w:hAnsi="Calibri"/>
          <w:sz w:val="24"/>
          <w:szCs w:val="24"/>
        </w:rPr>
        <w:t>ͦ</w:t>
      </w:r>
      <w:r w:rsidR="00AF0B6E" w:rsidRPr="00272F89">
        <w:rPr>
          <w:rFonts w:ascii="Calibri" w:hAnsi="Calibri"/>
          <w:sz w:val="24"/>
          <w:szCs w:val="24"/>
        </w:rPr>
        <w:t>47’1’’</w:t>
      </w:r>
      <w:r w:rsidR="009846D2" w:rsidRPr="00272F89">
        <w:rPr>
          <w:rFonts w:cs="Arial"/>
        </w:rPr>
        <w:t>.</w:t>
      </w:r>
      <w:r w:rsidR="009846D2" w:rsidRPr="0003707C">
        <w:rPr>
          <w:rFonts w:cs="Arial"/>
        </w:rPr>
        <w:t xml:space="preserve"> </w:t>
      </w:r>
    </w:p>
    <w:p w14:paraId="02766E07" w14:textId="77777777" w:rsidR="00AC4EAD" w:rsidRDefault="00AC4EAD" w:rsidP="009846D2">
      <w:pPr>
        <w:rPr>
          <w:rFonts w:cs="Arial"/>
        </w:rPr>
      </w:pPr>
    </w:p>
    <w:p w14:paraId="1467BB0B" w14:textId="77777777" w:rsidR="006971E6" w:rsidRDefault="00B53A36" w:rsidP="00C522FC">
      <w:pPr>
        <w:pStyle w:val="Caption"/>
        <w:ind w:hanging="1956"/>
        <w:rPr>
          <w:rFonts w:cs="Arial"/>
          <w:i/>
          <w:iCs/>
        </w:rPr>
      </w:pPr>
      <w:r>
        <w:lastRenderedPageBreak/>
        <w:t xml:space="preserve">Figure </w:t>
      </w:r>
      <w:r w:rsidR="00386F9E">
        <w:fldChar w:fldCharType="begin"/>
      </w:r>
      <w:r>
        <w:instrText xml:space="preserve"> SEQ Figure \* ARABIC </w:instrText>
      </w:r>
      <w:r w:rsidR="00386F9E">
        <w:fldChar w:fldCharType="separate"/>
      </w:r>
      <w:r w:rsidR="00FE38F8">
        <w:rPr>
          <w:noProof/>
        </w:rPr>
        <w:t>1</w:t>
      </w:r>
      <w:r w:rsidR="00386F9E">
        <w:fldChar w:fldCharType="end"/>
      </w:r>
      <w:r w:rsidR="006971E6" w:rsidRPr="00DF292B">
        <w:rPr>
          <w:rFonts w:cs="Arial"/>
          <w:i/>
          <w:iCs/>
        </w:rPr>
        <w:t xml:space="preserve"> </w:t>
      </w:r>
      <w:r w:rsidR="006971E6" w:rsidRPr="00C522FC">
        <w:rPr>
          <w:rFonts w:cs="Arial"/>
          <w:b w:val="0"/>
          <w:i/>
          <w:iCs/>
        </w:rPr>
        <w:t>Location VPA implementer and border of Kenya</w:t>
      </w:r>
      <w:r w:rsidR="006971E6">
        <w:rPr>
          <w:rFonts w:cs="Arial"/>
          <w:i/>
          <w:iCs/>
        </w:rPr>
        <w:t xml:space="preserve"> </w:t>
      </w:r>
    </w:p>
    <w:p w14:paraId="6A7F46D3" w14:textId="77777777" w:rsidR="006971E6" w:rsidRDefault="00A9764A" w:rsidP="006971E6">
      <w:pPr>
        <w:rPr>
          <w:rFonts w:cs="Arial"/>
          <w:i/>
          <w:iCs/>
          <w:sz w:val="20"/>
        </w:rPr>
      </w:pPr>
      <w:r>
        <w:rPr>
          <w:noProof/>
          <w:lang w:val="en-US" w:eastAsia="en-US"/>
        </w:rPr>
        <mc:AlternateContent>
          <mc:Choice Requires="wpg">
            <w:drawing>
              <wp:inline distT="0" distB="0" distL="0" distR="0" wp14:anchorId="44BBD334" wp14:editId="74A24E6D">
                <wp:extent cx="3324225" cy="3228975"/>
                <wp:effectExtent l="0" t="0" r="3810"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4225" cy="3228975"/>
                          <a:chOff x="1140" y="6046"/>
                          <a:chExt cx="5205" cy="5580"/>
                        </a:xfrm>
                      </wpg:grpSpPr>
                      <pic:pic xmlns:pic="http://schemas.openxmlformats.org/drawingml/2006/picture">
                        <pic:nvPicPr>
                          <pic:cNvPr id="15" name="Picture 3" descr="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40" y="6046"/>
                            <a:ext cx="5205" cy="5580"/>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18"/>
                        <wpg:cNvGrpSpPr>
                          <a:grpSpLocks/>
                        </wpg:cNvGrpSpPr>
                        <wpg:grpSpPr bwMode="auto">
                          <a:xfrm>
                            <a:off x="1751" y="9697"/>
                            <a:ext cx="1406" cy="1005"/>
                            <a:chOff x="2378" y="11386"/>
                            <a:chExt cx="1406" cy="1005"/>
                          </a:xfrm>
                        </wpg:grpSpPr>
                        <wps:wsp>
                          <wps:cNvPr id="17" name="Text Box 19"/>
                          <wps:cNvSpPr txBox="1">
                            <a:spLocks noChangeArrowheads="1"/>
                          </wps:cNvSpPr>
                          <wps:spPr bwMode="auto">
                            <a:xfrm>
                              <a:off x="2378" y="11839"/>
                              <a:ext cx="1155"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8941E" w14:textId="77777777" w:rsidR="00DA2181" w:rsidRPr="00272F89" w:rsidRDefault="00DA2181" w:rsidP="009846D2">
                                <w:pPr>
                                  <w:rPr>
                                    <w:color w:val="FF0000"/>
                                    <w:lang w:val="nl-NL"/>
                                  </w:rPr>
                                </w:pPr>
                                <w:r>
                                  <w:rPr>
                                    <w:color w:val="FF0000"/>
                                    <w:lang w:val="nl-NL"/>
                                  </w:rPr>
                                  <w:t>KBP</w:t>
                                </w:r>
                              </w:p>
                            </w:txbxContent>
                          </wps:txbx>
                          <wps:bodyPr rot="0" vert="horz" wrap="square" lIns="91440" tIns="91440" rIns="91440" bIns="91440" anchor="t" anchorCtr="0" upright="1">
                            <a:noAutofit/>
                          </wps:bodyPr>
                        </wps:wsp>
                        <wps:wsp>
                          <wps:cNvPr id="21" name="Straight Arrow Connector 3"/>
                          <wps:cNvCnPr>
                            <a:cxnSpLocks noChangeShapeType="1"/>
                          </wps:cNvCnPr>
                          <wps:spPr bwMode="auto">
                            <a:xfrm flipV="1">
                              <a:off x="2913" y="11386"/>
                              <a:ext cx="871" cy="569"/>
                            </a:xfrm>
                            <a:prstGeom prst="straightConnector1">
                              <a:avLst/>
                            </a:prstGeom>
                            <a:noFill/>
                            <a:ln w="25400">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wpg:grpSp>
                    </wpg:wgp>
                  </a:graphicData>
                </a:graphic>
              </wp:inline>
            </w:drawing>
          </mc:Choice>
          <mc:Fallback>
            <w:pict>
              <v:group w14:anchorId="44BBD334" id="Group 8" o:spid="_x0000_s1026" style="width:261.75pt;height:254.25pt;mso-position-horizontal-relative:char;mso-position-vertical-relative:line" coordorigin="1140,6046" coordsize="5205,5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107" style="position:absolute;left:1140;top:6046;width:5205;height:5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">
                  <v:imagedata r:id="rId14" o:title="107"/>
                </v:shape>
                <v:group id="Group 18" o:spid="_x0000_s1028" style="position:absolute;left:1751;top:9697;width:1406;height:1005" coordorigin="2378,11386" coordsize="1406,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19" o:spid="_x0000_s1029" type="#_x0000_t202" style="position:absolute;left:2378;top:11839;width:115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" filled="f" stroked="f">
                    <v:textbox inset=",7.2pt,,7.2pt">
                      <w:txbxContent>
                        <w:p w14:paraId="0048941E" w14:textId="77777777" w:rsidR="00DA2181" w:rsidRPr="00272F89" w:rsidRDefault="00DA2181" w:rsidP="009846D2">
                          <w:pPr>
                            <w:rPr>
                              <w:color w:val="FF0000"/>
                              <w:lang w:val="nl-NL"/>
                            </w:rPr>
                          </w:pPr>
                          <w:r>
                            <w:rPr>
                              <w:color w:val="FF0000"/>
                              <w:lang w:val="nl-NL"/>
                            </w:rPr>
                            <w:t>KBP</w:t>
                          </w:r>
                        </w:p>
                      </w:txbxContent>
                    </v:textbox>
                  </v:shape>
                  <v:shapetype id="_x0000_t32" coordsize="21600,21600" o:spt="32" o:oned="t" path="m,l21600,21600e" filled="f">
                    <v:path arrowok="t" fillok="f" o:connecttype="none"/>
                    <o:lock v:ext="edit" shapetype="t"/>
                  </v:shapetype>
                  <v:shape id="Straight Arrow Connector 3" o:spid="_x0000_s1030" type="#_x0000_t32" style="position:absolute;left:2913;top:11386;width:871;height: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" strokecolor="red" strokeweight="2pt">
                    <v:stroke endarrow="open"/>
                    <v:shadow opacity="24903f" origin=",.5" offset="0,.55556mm"/>
                  </v:shape>
                </v:group>
                <w10:anchorlock/>
              </v:group>
            </w:pict>
          </mc:Fallback>
        </mc:AlternateContent>
      </w:r>
    </w:p>
    <w:p w14:paraId="2FCCF57A" w14:textId="77777777" w:rsidR="009846D2" w:rsidRDefault="009846D2" w:rsidP="006B07A7">
      <w:pPr>
        <w:rPr>
          <w:rFonts w:cs="Arial"/>
          <w:lang w:eastAsia="en-US"/>
        </w:rPr>
      </w:pPr>
    </w:p>
    <w:p w14:paraId="64F22794" w14:textId="77777777" w:rsidR="003D1CFF" w:rsidRDefault="000D25FD" w:rsidP="006E52DB">
      <w:pPr>
        <w:pStyle w:val="SDMPDDPoASubSection1"/>
        <w:numPr>
          <w:ilvl w:val="2"/>
          <w:numId w:val="12"/>
        </w:numPr>
        <w:tabs>
          <w:tab w:val="clear" w:pos="1474"/>
        </w:tabs>
        <w:ind w:left="709" w:hanging="709"/>
      </w:pPr>
      <w:bookmarkStart w:id="5" w:name="_Ref316941208"/>
      <w:r w:rsidRPr="000C7CA3">
        <w:tab/>
      </w:r>
      <w:bookmarkStart w:id="6" w:name="_Ref484109588"/>
      <w:bookmarkStart w:id="7" w:name="_Ref483306698"/>
      <w:r w:rsidR="00540441">
        <w:t>Technologies/measures</w:t>
      </w:r>
      <w:bookmarkEnd w:id="6"/>
    </w:p>
    <w:p w14:paraId="38E545F0" w14:textId="77777777" w:rsidR="003D1CFF" w:rsidRDefault="003D1CFF" w:rsidP="0089085E">
      <w:pPr>
        <w:pStyle w:val="SDMPDDPoASubSection1"/>
        <w:keepNext w:val="0"/>
        <w:keepLines w:val="0"/>
        <w:tabs>
          <w:tab w:val="clear" w:pos="1474"/>
        </w:tabs>
        <w:spacing w:before="0" w:after="0"/>
        <w:rPr>
          <w:b w:val="0"/>
        </w:rPr>
      </w:pPr>
      <w:r w:rsidRPr="0089085E">
        <w:rPr>
          <w:b w:val="0"/>
        </w:rPr>
        <w:t>&gt;&gt;</w:t>
      </w:r>
    </w:p>
    <w:bookmarkEnd w:id="5"/>
    <w:bookmarkEnd w:id="7"/>
    <w:p w14:paraId="4EB8D49D" w14:textId="77777777" w:rsidR="00D715FE" w:rsidRDefault="00D715FE" w:rsidP="00D715FE">
      <w:pPr>
        <w:pStyle w:val="CommentText"/>
        <w:rPr>
          <w:rFonts w:eastAsia="Times New Roman" w:cs="Arial"/>
          <w:sz w:val="22"/>
          <w:lang w:eastAsia="de-DE"/>
        </w:rPr>
      </w:pPr>
      <w:r w:rsidRPr="005914EA">
        <w:rPr>
          <w:rFonts w:eastAsia="Times New Roman" w:cs="Arial"/>
          <w:sz w:val="22"/>
          <w:lang w:eastAsia="de-DE"/>
        </w:rPr>
        <w:t>The VPA will stimulate the installation of domestic biogas systems country wide, of 4m</w:t>
      </w:r>
      <w:r w:rsidRPr="008B39FF">
        <w:rPr>
          <w:rFonts w:eastAsia="Times New Roman" w:cs="Arial"/>
          <w:sz w:val="22"/>
          <w:vertAlign w:val="superscript"/>
          <w:lang w:eastAsia="de-DE"/>
        </w:rPr>
        <w:t>3</w:t>
      </w:r>
      <w:r w:rsidR="008B39FF">
        <w:rPr>
          <w:rFonts w:eastAsia="Times New Roman" w:cs="Arial"/>
          <w:sz w:val="22"/>
          <w:vertAlign w:val="superscript"/>
          <w:lang w:eastAsia="de-DE"/>
        </w:rPr>
        <w:t xml:space="preserve"> </w:t>
      </w:r>
      <w:r w:rsidR="008B39FF">
        <w:rPr>
          <w:rFonts w:eastAsia="Times New Roman" w:cs="Arial"/>
          <w:sz w:val="22"/>
          <w:lang w:eastAsia="de-DE"/>
        </w:rPr>
        <w:t>and above, as long as digesters remain below the small</w:t>
      </w:r>
      <w:r w:rsidR="00E246BC">
        <w:rPr>
          <w:rFonts w:eastAsia="Times New Roman" w:cs="Arial"/>
          <w:sz w:val="22"/>
          <w:lang w:eastAsia="de-DE"/>
        </w:rPr>
        <w:t>-</w:t>
      </w:r>
      <w:r w:rsidR="008B39FF">
        <w:rPr>
          <w:rFonts w:eastAsia="Times New Roman" w:cs="Arial"/>
          <w:sz w:val="22"/>
          <w:lang w:eastAsia="de-DE"/>
        </w:rPr>
        <w:t>scale limit</w:t>
      </w:r>
      <w:r w:rsidRPr="005914EA">
        <w:rPr>
          <w:rFonts w:eastAsia="Times New Roman" w:cs="Arial"/>
          <w:sz w:val="22"/>
          <w:lang w:eastAsia="de-DE"/>
        </w:rPr>
        <w:t>. It will install and maintain biogas systems through over 100 biogas-related enterprises engaged in construction, appliances and parts. In order to make biogas technologies more affordable to the end-user, the digesters will be offered at a reduced price, subsidised in part by carbon revenues. As the market matures the direct subsidies may be phased out. During a transition period subsidies to biogas construction enterprises are considered. Technical assistance and after sales services (including a guarantee period) will continue to be provided free of charge. These services will be subsidized by carbon revenues.</w:t>
      </w:r>
    </w:p>
    <w:p w14:paraId="23C16F5E" w14:textId="77777777" w:rsidR="006971E6" w:rsidRDefault="006971E6" w:rsidP="00D715FE">
      <w:pPr>
        <w:pStyle w:val="CommentText"/>
        <w:rPr>
          <w:rFonts w:eastAsia="Times New Roman" w:cs="Arial"/>
          <w:sz w:val="22"/>
          <w:lang w:eastAsia="de-DE"/>
        </w:rPr>
      </w:pPr>
    </w:p>
    <w:p w14:paraId="4EDA24F1" w14:textId="77777777" w:rsidR="006971E6" w:rsidRPr="005914EA" w:rsidRDefault="006971E6" w:rsidP="00D715FE">
      <w:pPr>
        <w:pStyle w:val="CommentText"/>
        <w:rPr>
          <w:rFonts w:eastAsia="Times New Roman" w:cs="Arial"/>
          <w:sz w:val="22"/>
          <w:lang w:eastAsia="de-DE"/>
        </w:rPr>
      </w:pPr>
      <w:r w:rsidRPr="00272F89">
        <w:rPr>
          <w:rFonts w:eastAsia="Times New Roman" w:cs="Arial"/>
          <w:sz w:val="22"/>
          <w:lang w:eastAsia="de-DE"/>
        </w:rPr>
        <w:t xml:space="preserve">The initial target of the VPA is to support the installation of some </w:t>
      </w:r>
      <w:r w:rsidR="00F918BC" w:rsidRPr="00272F89">
        <w:rPr>
          <w:rFonts w:eastAsia="Times New Roman" w:cs="Arial"/>
          <w:sz w:val="22"/>
          <w:lang w:eastAsia="de-DE"/>
        </w:rPr>
        <w:t>416</w:t>
      </w:r>
      <w:r w:rsidR="00272F89" w:rsidRPr="00272F89">
        <w:rPr>
          <w:rFonts w:eastAsia="Times New Roman" w:cs="Arial"/>
          <w:sz w:val="22"/>
          <w:lang w:eastAsia="de-DE"/>
        </w:rPr>
        <w:t>0</w:t>
      </w:r>
      <w:r w:rsidR="00AF0B6E" w:rsidRPr="00272F89">
        <w:rPr>
          <w:rFonts w:eastAsia="Times New Roman" w:cs="Arial"/>
          <w:sz w:val="22"/>
          <w:lang w:eastAsia="de-DE"/>
        </w:rPr>
        <w:t xml:space="preserve"> </w:t>
      </w:r>
      <w:r w:rsidRPr="00272F89">
        <w:rPr>
          <w:rFonts w:eastAsia="Times New Roman" w:cs="Arial"/>
          <w:sz w:val="22"/>
          <w:lang w:eastAsia="de-DE"/>
        </w:rPr>
        <w:t>biogas</w:t>
      </w:r>
      <w:r>
        <w:rPr>
          <w:rFonts w:eastAsia="Times New Roman" w:cs="Arial"/>
          <w:sz w:val="22"/>
          <w:lang w:eastAsia="de-DE"/>
        </w:rPr>
        <w:t xml:space="preserve"> systems that were installed </w:t>
      </w:r>
      <w:r w:rsidR="00DE6BC7">
        <w:rPr>
          <w:rFonts w:eastAsia="Times New Roman" w:cs="Arial"/>
          <w:sz w:val="22"/>
          <w:lang w:eastAsia="de-DE"/>
        </w:rPr>
        <w:t>from 1 January 2014 onwards.</w:t>
      </w:r>
    </w:p>
    <w:p w14:paraId="21C80972" w14:textId="77777777" w:rsidR="00D715FE" w:rsidRPr="0003707C" w:rsidRDefault="00D715FE" w:rsidP="00D715FE">
      <w:pPr>
        <w:rPr>
          <w:rFonts w:cs="Arial"/>
        </w:rPr>
      </w:pPr>
    </w:p>
    <w:p w14:paraId="121F105E" w14:textId="763CAE3A" w:rsidR="00D715FE" w:rsidRDefault="00DA374E" w:rsidP="00D715FE">
      <w:pPr>
        <w:rPr>
          <w:rFonts w:cs="Arial"/>
        </w:rPr>
      </w:pPr>
      <w:r>
        <w:rPr>
          <w:rFonts w:cs="Arial"/>
        </w:rPr>
        <w:t>Kenya Biogas Program</w:t>
      </w:r>
      <w:r w:rsidRPr="0003707C">
        <w:rPr>
          <w:rFonts w:cs="Arial"/>
        </w:rPr>
        <w:t xml:space="preserve"> </w:t>
      </w:r>
      <w:r w:rsidR="00D715FE" w:rsidRPr="0003707C">
        <w:rPr>
          <w:rFonts w:cs="Arial"/>
        </w:rPr>
        <w:t>selected the appropriate biogas technology to be implemented through engagement with a wide range of stakeholders. They agreed on a fixed dome digester design to be known as the Kenya National Biogas Model (KENBIM)</w:t>
      </w:r>
      <w:r w:rsidR="00762920">
        <w:rPr>
          <w:rFonts w:cs="Arial"/>
        </w:rPr>
        <w:t>, although other types of biogas digester are permitted under this VPA as long as the technology used meets the eligibility criteria for VPA inclusion outlined in Section F</w:t>
      </w:r>
      <w:r w:rsidR="00D715FE" w:rsidRPr="0003707C">
        <w:rPr>
          <w:rFonts w:cs="Arial"/>
        </w:rPr>
        <w:t xml:space="preserve">. </w:t>
      </w:r>
      <w:r w:rsidR="00CB406A">
        <w:rPr>
          <w:rFonts w:cs="Arial"/>
        </w:rPr>
        <w:t>The average lifetime of the technology is over 20 years</w:t>
      </w:r>
      <w:r w:rsidR="00CB406A">
        <w:rPr>
          <w:rStyle w:val="FootnoteReference"/>
          <w:rFonts w:cs="Arial"/>
        </w:rPr>
        <w:footnoteReference w:id="9"/>
      </w:r>
      <w:r w:rsidR="00CB406A">
        <w:rPr>
          <w:rFonts w:cs="Arial"/>
        </w:rPr>
        <w:t xml:space="preserve">. </w:t>
      </w:r>
      <w:r w:rsidR="00D715FE" w:rsidRPr="0003707C">
        <w:rPr>
          <w:rFonts w:cs="Arial"/>
        </w:rPr>
        <w:t xml:space="preserve">A drawing of the KENBIM is shown in </w:t>
      </w:r>
      <w:r w:rsidR="00386F9E">
        <w:rPr>
          <w:rFonts w:cs="Arial"/>
        </w:rPr>
        <w:fldChar w:fldCharType="begin"/>
      </w:r>
      <w:r w:rsidR="00CB783F">
        <w:rPr>
          <w:rFonts w:cs="Arial"/>
        </w:rPr>
        <w:instrText xml:space="preserve"> REF _Ref494188417 \h </w:instrText>
      </w:r>
      <w:r w:rsidR="00386F9E">
        <w:rPr>
          <w:rFonts w:cs="Arial"/>
        </w:rPr>
      </w:r>
      <w:r w:rsidR="00386F9E">
        <w:rPr>
          <w:rFonts w:cs="Arial"/>
        </w:rPr>
        <w:fldChar w:fldCharType="separate"/>
      </w:r>
      <w:r w:rsidR="00FE38F8">
        <w:t xml:space="preserve">Figure </w:t>
      </w:r>
      <w:r w:rsidR="00FE38F8">
        <w:rPr>
          <w:noProof/>
        </w:rPr>
        <w:t>2</w:t>
      </w:r>
      <w:r w:rsidR="00386F9E">
        <w:rPr>
          <w:rFonts w:cs="Arial"/>
        </w:rPr>
        <w:fldChar w:fldCharType="end"/>
      </w:r>
      <w:r w:rsidR="00CB783F">
        <w:rPr>
          <w:rFonts w:cs="Arial"/>
        </w:rPr>
        <w:t>.</w:t>
      </w:r>
      <w:r w:rsidR="009A2DBB">
        <w:rPr>
          <w:rFonts w:cs="Arial"/>
        </w:rPr>
        <w:t xml:space="preserve"> </w:t>
      </w:r>
    </w:p>
    <w:p w14:paraId="4CC3913B" w14:textId="77777777" w:rsidR="00D715FE" w:rsidRPr="0003707C" w:rsidRDefault="00D715FE" w:rsidP="00D715FE">
      <w:pPr>
        <w:rPr>
          <w:rFonts w:cs="Arial"/>
        </w:rPr>
      </w:pPr>
    </w:p>
    <w:p w14:paraId="05A76F49" w14:textId="77777777" w:rsidR="00D715FE" w:rsidRPr="00DF292B" w:rsidRDefault="00B53A36" w:rsidP="00C522FC">
      <w:pPr>
        <w:pStyle w:val="Caption"/>
        <w:ind w:hanging="1956"/>
        <w:rPr>
          <w:rFonts w:cs="Arial"/>
          <w:i/>
          <w:iCs/>
        </w:rPr>
      </w:pPr>
      <w:bookmarkStart w:id="8" w:name="_Ref494188417"/>
      <w:bookmarkStart w:id="9" w:name="_Ref494188412"/>
      <w:r>
        <w:lastRenderedPageBreak/>
        <w:t xml:space="preserve">Figure </w:t>
      </w:r>
      <w:r w:rsidR="00386F9E">
        <w:fldChar w:fldCharType="begin"/>
      </w:r>
      <w:r>
        <w:instrText xml:space="preserve"> SEQ Figure \* ARABIC </w:instrText>
      </w:r>
      <w:r w:rsidR="00386F9E">
        <w:fldChar w:fldCharType="separate"/>
      </w:r>
      <w:r w:rsidR="00FE38F8">
        <w:rPr>
          <w:noProof/>
        </w:rPr>
        <w:t>2</w:t>
      </w:r>
      <w:r w:rsidR="00386F9E">
        <w:fldChar w:fldCharType="end"/>
      </w:r>
      <w:bookmarkEnd w:id="8"/>
      <w:r>
        <w:t xml:space="preserve"> </w:t>
      </w:r>
      <w:r w:rsidR="00D715FE" w:rsidRPr="00C522FC">
        <w:rPr>
          <w:rFonts w:cs="Arial"/>
          <w:b w:val="0"/>
          <w:i/>
          <w:iCs/>
        </w:rPr>
        <w:t>KENBIM biogas system technical drawing</w:t>
      </w:r>
      <w:bookmarkEnd w:id="9"/>
    </w:p>
    <w:p w14:paraId="0364F7C0" w14:textId="77777777" w:rsidR="00D715FE" w:rsidRDefault="008C170F" w:rsidP="00D715FE">
      <w:pPr>
        <w:rPr>
          <w:rFonts w:cs="Arial"/>
        </w:rPr>
      </w:pPr>
      <w:r w:rsidRPr="00D715FE">
        <w:rPr>
          <w:rFonts w:cs="Arial"/>
          <w:noProof/>
          <w:lang w:val="en-US" w:eastAsia="en-US"/>
        </w:rPr>
        <w:drawing>
          <wp:inline distT="0" distB="0" distL="0" distR="0" wp14:anchorId="11A791F4" wp14:editId="6496F5E9">
            <wp:extent cx="5486400" cy="5181600"/>
            <wp:effectExtent l="19050" t="19050" r="0" b="0"/>
            <wp:docPr id="3" name="Picture 4" descr="Description: Kendbi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Kendbip 6"/>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486400" cy="5181600"/>
                    </a:xfrm>
                    <a:prstGeom prst="rect">
                      <a:avLst/>
                    </a:prstGeom>
                    <a:noFill/>
                    <a:ln w="9525" cmpd="sng">
                      <a:solidFill>
                        <a:srgbClr val="C0504D"/>
                      </a:solidFill>
                      <a:miter lim="800000"/>
                      <a:headEnd/>
                      <a:tailEnd/>
                    </a:ln>
                    <a:effectLst/>
                  </pic:spPr>
                </pic:pic>
              </a:graphicData>
            </a:graphic>
          </wp:inline>
        </w:drawing>
      </w:r>
    </w:p>
    <w:p w14:paraId="53812504" w14:textId="77777777" w:rsidR="000E1266" w:rsidRDefault="000E1266" w:rsidP="00D715FE">
      <w:pPr>
        <w:rPr>
          <w:rFonts w:cs="Arial"/>
        </w:rPr>
      </w:pPr>
    </w:p>
    <w:p w14:paraId="1C75E0FF" w14:textId="77777777" w:rsidR="00D715FE" w:rsidRPr="0003707C" w:rsidRDefault="00D715FE" w:rsidP="00D715FE">
      <w:pPr>
        <w:rPr>
          <w:rFonts w:cs="Arial"/>
        </w:rPr>
      </w:pPr>
      <w:r w:rsidRPr="0003707C">
        <w:rPr>
          <w:rFonts w:cs="Arial"/>
        </w:rPr>
        <w:t>The biogas system is made up of several interconnected parts. The specific role of each component is summarised below:</w:t>
      </w:r>
    </w:p>
    <w:p w14:paraId="7145689B" w14:textId="77777777" w:rsidR="00D715FE" w:rsidRPr="0003707C" w:rsidRDefault="00D715FE" w:rsidP="00D715FE">
      <w:pPr>
        <w:rPr>
          <w:rFonts w:cs="Arial"/>
        </w:rPr>
      </w:pPr>
    </w:p>
    <w:p w14:paraId="0ECAF793" w14:textId="77777777" w:rsidR="00D715FE" w:rsidRPr="0003707C" w:rsidRDefault="00D715FE" w:rsidP="00D715FE">
      <w:pPr>
        <w:rPr>
          <w:rFonts w:cs="Arial"/>
        </w:rPr>
      </w:pPr>
      <w:r w:rsidRPr="0003707C">
        <w:rPr>
          <w:rFonts w:cs="Arial"/>
        </w:rPr>
        <w:t xml:space="preserve">Inlet – The main purpose of the inlet is to mix organic material and water into a semi solid state. This mixture is fed into the digester via an inlet pipe. </w:t>
      </w:r>
    </w:p>
    <w:p w14:paraId="1B888039" w14:textId="77777777" w:rsidR="00D715FE" w:rsidRPr="0003707C" w:rsidRDefault="00D715FE" w:rsidP="00D715FE">
      <w:pPr>
        <w:rPr>
          <w:rFonts w:cs="Arial"/>
        </w:rPr>
      </w:pPr>
    </w:p>
    <w:p w14:paraId="5EABB890" w14:textId="77777777" w:rsidR="00D715FE" w:rsidRPr="0003707C" w:rsidRDefault="00D715FE" w:rsidP="00D715FE">
      <w:pPr>
        <w:rPr>
          <w:rFonts w:cs="Arial"/>
        </w:rPr>
      </w:pPr>
      <w:r w:rsidRPr="0003707C">
        <w:rPr>
          <w:rFonts w:cs="Arial"/>
        </w:rPr>
        <w:t>Digester – The digester holds the mixture of manure and water, creating a conducive environment for anaerobic digestion where microorganisms produce biogas. The digester is cylindrical in shape and is usually made of brick masonry with a concave concrete cover, or dome. Typically the digester is built underground with only the plumbing, inlet and outlets visible.</w:t>
      </w:r>
    </w:p>
    <w:p w14:paraId="7CD44C71" w14:textId="77777777" w:rsidR="00D715FE" w:rsidRPr="0003707C" w:rsidRDefault="00D715FE" w:rsidP="00D715FE">
      <w:pPr>
        <w:rPr>
          <w:rFonts w:cs="Arial"/>
        </w:rPr>
      </w:pPr>
    </w:p>
    <w:p w14:paraId="77858CF9" w14:textId="77777777" w:rsidR="00D715FE" w:rsidRPr="0003707C" w:rsidRDefault="00D715FE" w:rsidP="00D715FE">
      <w:pPr>
        <w:rPr>
          <w:rFonts w:cs="Arial"/>
        </w:rPr>
      </w:pPr>
      <w:r w:rsidRPr="0003707C">
        <w:rPr>
          <w:rFonts w:cs="Arial"/>
        </w:rPr>
        <w:t>Dome - The purpose of the dome is to collect the gas produced in the digester. This is typically plastered in several layers and painted with a special paint in order to minimise gas leakage. Gas accumulates under the dome creating pressure and pushing down the level of the slurry and increasing the slurry level in the connected slurry tank. It is the difference in slurry levels between the slurry tank and the inside of the dome that maintains the pressure to push the gas into the outlet pipe.</w:t>
      </w:r>
    </w:p>
    <w:p w14:paraId="597E2B76" w14:textId="77777777" w:rsidR="00D715FE" w:rsidRPr="0003707C" w:rsidRDefault="00D715FE" w:rsidP="00D715FE">
      <w:pPr>
        <w:rPr>
          <w:rFonts w:cs="Arial"/>
        </w:rPr>
      </w:pPr>
    </w:p>
    <w:p w14:paraId="58562336" w14:textId="77777777" w:rsidR="00D715FE" w:rsidRPr="0003707C" w:rsidRDefault="00D715FE" w:rsidP="00D715FE">
      <w:pPr>
        <w:rPr>
          <w:rFonts w:cs="Arial"/>
        </w:rPr>
      </w:pPr>
      <w:r w:rsidRPr="0003707C">
        <w:rPr>
          <w:rFonts w:cs="Arial"/>
        </w:rPr>
        <w:t>Outlet - The outlet valve releases the collected gas under the dome to biogas appliances such as stoves or lamps.</w:t>
      </w:r>
    </w:p>
    <w:p w14:paraId="7B91A42F" w14:textId="77777777" w:rsidR="00D715FE" w:rsidRDefault="00D715FE" w:rsidP="00D715FE">
      <w:pPr>
        <w:rPr>
          <w:rFonts w:cs="Arial"/>
        </w:rPr>
      </w:pPr>
    </w:p>
    <w:p w14:paraId="1D54898D" w14:textId="77777777" w:rsidR="00D715FE" w:rsidRPr="0003707C" w:rsidRDefault="00D715FE" w:rsidP="00D715FE">
      <w:pPr>
        <w:rPr>
          <w:rFonts w:cs="Arial"/>
        </w:rPr>
      </w:pPr>
      <w:r w:rsidRPr="0003707C">
        <w:rPr>
          <w:rFonts w:cs="Arial"/>
        </w:rPr>
        <w:lastRenderedPageBreak/>
        <w:t>Slurry Tank - The slurry tank holds the slurry that the gas pressure from under the dome displaces. This slurry overflows into a composting tank as more manure is fed into the digester. This slurry can then be used as a fertiliser.</w:t>
      </w:r>
    </w:p>
    <w:p w14:paraId="4F2D9E0B" w14:textId="77777777" w:rsidR="00D715FE" w:rsidRPr="0003707C" w:rsidRDefault="00D715FE" w:rsidP="00D715FE">
      <w:pPr>
        <w:rPr>
          <w:rFonts w:cs="Arial"/>
        </w:rPr>
      </w:pPr>
    </w:p>
    <w:p w14:paraId="2414F233" w14:textId="77777777" w:rsidR="00D715FE" w:rsidRPr="0003707C" w:rsidRDefault="00D715FE" w:rsidP="00D715FE">
      <w:pPr>
        <w:rPr>
          <w:rFonts w:cs="Arial"/>
        </w:rPr>
      </w:pPr>
      <w:r w:rsidRPr="0003707C">
        <w:rPr>
          <w:rFonts w:cs="Arial"/>
        </w:rPr>
        <w:t>KENBIM is a hybrid of the modified CAMARTEC and AKUT biogas models; and incorporates the positive aspects of these and includes the following modifications:</w:t>
      </w:r>
    </w:p>
    <w:p w14:paraId="529C5F13" w14:textId="77777777" w:rsidR="00D715FE" w:rsidRPr="0003707C" w:rsidRDefault="00D715FE" w:rsidP="00D715FE">
      <w:pPr>
        <w:rPr>
          <w:rFonts w:cs="Arial"/>
        </w:rPr>
      </w:pPr>
    </w:p>
    <w:p w14:paraId="53F83FDB" w14:textId="77777777" w:rsidR="00D715FE" w:rsidRPr="0003707C" w:rsidRDefault="00D715FE" w:rsidP="001E0142">
      <w:pPr>
        <w:numPr>
          <w:ilvl w:val="0"/>
          <w:numId w:val="35"/>
        </w:numPr>
        <w:rPr>
          <w:rFonts w:cs="Arial"/>
        </w:rPr>
      </w:pPr>
      <w:r w:rsidRPr="0003707C">
        <w:rPr>
          <w:rFonts w:cs="Arial"/>
        </w:rPr>
        <w:t>KENBIM has a conical floor for areas having weak soil conditions and a flat floor for relatively strong areas.</w:t>
      </w:r>
    </w:p>
    <w:p w14:paraId="75B69A3C" w14:textId="77777777" w:rsidR="00D715FE" w:rsidRPr="0003707C" w:rsidRDefault="00D715FE" w:rsidP="001E0142">
      <w:pPr>
        <w:numPr>
          <w:ilvl w:val="0"/>
          <w:numId w:val="35"/>
        </w:numPr>
        <w:rPr>
          <w:rFonts w:cs="Arial"/>
        </w:rPr>
      </w:pPr>
      <w:r w:rsidRPr="0003707C">
        <w:rPr>
          <w:rFonts w:cs="Arial"/>
        </w:rPr>
        <w:t>There is no manhole on the top of the gas holder, instead the manhole is from the expansion chamber.</w:t>
      </w:r>
    </w:p>
    <w:p w14:paraId="7947DC4A" w14:textId="77777777" w:rsidR="00D715FE" w:rsidRPr="0003707C" w:rsidRDefault="00D715FE" w:rsidP="001E0142">
      <w:pPr>
        <w:numPr>
          <w:ilvl w:val="0"/>
          <w:numId w:val="35"/>
        </w:numPr>
        <w:rPr>
          <w:rFonts w:cs="Arial"/>
        </w:rPr>
      </w:pPr>
      <w:r w:rsidRPr="0003707C">
        <w:rPr>
          <w:rFonts w:cs="Arial"/>
        </w:rPr>
        <w:t>The shape of expansion chamber is rectangular.</w:t>
      </w:r>
    </w:p>
    <w:p w14:paraId="54DB03AF" w14:textId="77777777" w:rsidR="00D715FE" w:rsidRPr="0003707C" w:rsidRDefault="00D715FE" w:rsidP="001E0142">
      <w:pPr>
        <w:numPr>
          <w:ilvl w:val="0"/>
          <w:numId w:val="35"/>
        </w:numPr>
        <w:rPr>
          <w:rFonts w:cs="Arial"/>
        </w:rPr>
      </w:pPr>
      <w:r w:rsidRPr="0003707C">
        <w:rPr>
          <w:rFonts w:cs="Arial"/>
        </w:rPr>
        <w:t>The outlet passage is designed in such a way that it allows easy entrance inside the digester.</w:t>
      </w:r>
    </w:p>
    <w:p w14:paraId="712933B4" w14:textId="77777777" w:rsidR="00D715FE" w:rsidRPr="0003707C" w:rsidRDefault="00D715FE" w:rsidP="001E0142">
      <w:pPr>
        <w:numPr>
          <w:ilvl w:val="0"/>
          <w:numId w:val="35"/>
        </w:numPr>
        <w:rPr>
          <w:rFonts w:cs="Arial"/>
        </w:rPr>
      </w:pPr>
      <w:r w:rsidRPr="0003707C">
        <w:rPr>
          <w:rFonts w:cs="Arial"/>
        </w:rPr>
        <w:t>The gas holder is designed to store at least 60% of the daily gas production.</w:t>
      </w:r>
    </w:p>
    <w:p w14:paraId="54B16624" w14:textId="77777777" w:rsidR="00D715FE" w:rsidRPr="0003707C" w:rsidRDefault="00D715FE" w:rsidP="001E0142">
      <w:pPr>
        <w:numPr>
          <w:ilvl w:val="0"/>
          <w:numId w:val="35"/>
        </w:numPr>
        <w:rPr>
          <w:rFonts w:cs="Arial"/>
        </w:rPr>
      </w:pPr>
      <w:r w:rsidRPr="0003707C">
        <w:rPr>
          <w:rFonts w:cs="Arial"/>
        </w:rPr>
        <w:t>The overflow level in the expansion chamber is arranged in such a way that gravity assists the flow of slurry from the inlet to the slurry pit.</w:t>
      </w:r>
    </w:p>
    <w:p w14:paraId="34A866B2" w14:textId="77777777" w:rsidR="00D715FE" w:rsidRPr="0003707C" w:rsidRDefault="00D715FE" w:rsidP="001E0142">
      <w:pPr>
        <w:numPr>
          <w:ilvl w:val="0"/>
          <w:numId w:val="35"/>
        </w:numPr>
        <w:rPr>
          <w:rFonts w:cs="Arial"/>
        </w:rPr>
      </w:pPr>
      <w:r w:rsidRPr="0003707C">
        <w:rPr>
          <w:rFonts w:cs="Arial"/>
        </w:rPr>
        <w:t>The design incorporates options for direct feeding of dung from the cattle shed as well as separate mixing tank depending upon the site condition and user’s demand/need.</w:t>
      </w:r>
    </w:p>
    <w:p w14:paraId="3B78788E" w14:textId="77777777" w:rsidR="006D4FDF" w:rsidRDefault="006D4FDF" w:rsidP="0089085E">
      <w:pPr>
        <w:pStyle w:val="SDMPDDPoASubSection1"/>
        <w:keepNext w:val="0"/>
        <w:keepLines w:val="0"/>
        <w:tabs>
          <w:tab w:val="clear" w:pos="1474"/>
        </w:tabs>
        <w:spacing w:before="0" w:after="0"/>
        <w:rPr>
          <w:b w:val="0"/>
          <w:i/>
        </w:rPr>
      </w:pPr>
    </w:p>
    <w:p w14:paraId="17B5BAC7" w14:textId="77777777" w:rsidR="00985521" w:rsidRDefault="000D25FD" w:rsidP="008567ED">
      <w:pPr>
        <w:pStyle w:val="SDMPDDPoASubSection1"/>
        <w:numPr>
          <w:ilvl w:val="2"/>
          <w:numId w:val="12"/>
        </w:numPr>
        <w:tabs>
          <w:tab w:val="clear" w:pos="1474"/>
        </w:tabs>
        <w:ind w:left="709" w:hanging="709"/>
      </w:pPr>
      <w:bookmarkStart w:id="10" w:name="_Ref316945463"/>
      <w:r w:rsidRPr="000C7CA3">
        <w:tab/>
      </w:r>
      <w:r w:rsidR="00985521">
        <w:t>Coordinating/managing entity</w:t>
      </w:r>
    </w:p>
    <w:p w14:paraId="31CB19F1" w14:textId="77777777" w:rsidR="00985521" w:rsidRPr="0089085E" w:rsidRDefault="00985521" w:rsidP="0089085E">
      <w:pPr>
        <w:pStyle w:val="SDMPDDPoASubSection1"/>
        <w:keepNext w:val="0"/>
        <w:keepLines w:val="0"/>
        <w:tabs>
          <w:tab w:val="clear" w:pos="1474"/>
        </w:tabs>
        <w:spacing w:before="0" w:after="0"/>
        <w:rPr>
          <w:b w:val="0"/>
        </w:rPr>
      </w:pPr>
      <w:r w:rsidRPr="0089085E">
        <w:rPr>
          <w:b w:val="0"/>
        </w:rPr>
        <w:t>&gt;&gt;</w:t>
      </w:r>
    </w:p>
    <w:p w14:paraId="57AF0E7D" w14:textId="77777777" w:rsidR="00EA0566" w:rsidRDefault="00EA0566" w:rsidP="0089085E">
      <w:pPr>
        <w:pStyle w:val="SDMPDDPoASubSection1"/>
        <w:keepNext w:val="0"/>
        <w:keepLines w:val="0"/>
        <w:tabs>
          <w:tab w:val="clear" w:pos="1474"/>
        </w:tabs>
        <w:spacing w:before="0" w:after="0"/>
        <w:rPr>
          <w:b w:val="0"/>
        </w:rPr>
      </w:pPr>
      <w:r>
        <w:rPr>
          <w:b w:val="0"/>
        </w:rPr>
        <w:t>The coordinating/managing entity for this VPA is Hivos</w:t>
      </w:r>
      <w:r w:rsidR="00DE6BC7">
        <w:rPr>
          <w:b w:val="0"/>
        </w:rPr>
        <w:t xml:space="preserve"> International</w:t>
      </w:r>
      <w:r>
        <w:rPr>
          <w:b w:val="0"/>
        </w:rPr>
        <w:t xml:space="preserve">. </w:t>
      </w:r>
    </w:p>
    <w:p w14:paraId="71CBA660" w14:textId="77777777" w:rsidR="00EA0566" w:rsidRPr="000135A5" w:rsidRDefault="00EA0566" w:rsidP="0089085E">
      <w:pPr>
        <w:pStyle w:val="SDMPDDPoASubSection1"/>
        <w:keepNext w:val="0"/>
        <w:keepLines w:val="0"/>
        <w:tabs>
          <w:tab w:val="clear" w:pos="1474"/>
        </w:tabs>
        <w:spacing w:before="0" w:after="0"/>
        <w:rPr>
          <w:b w:val="0"/>
        </w:rPr>
      </w:pPr>
    </w:p>
    <w:p w14:paraId="2CBAB054" w14:textId="77777777" w:rsidR="00CE38BC" w:rsidRPr="000C7CA3" w:rsidRDefault="008567ED" w:rsidP="006E52DB">
      <w:pPr>
        <w:pStyle w:val="SDMPDDPoASubSection1"/>
        <w:numPr>
          <w:ilvl w:val="2"/>
          <w:numId w:val="12"/>
        </w:numPr>
        <w:tabs>
          <w:tab w:val="clear" w:pos="1474"/>
        </w:tabs>
        <w:ind w:left="709" w:hanging="709"/>
      </w:pPr>
      <w:r w:rsidRPr="000C7CA3">
        <w:tab/>
      </w:r>
      <w:r w:rsidR="00CE38BC" w:rsidRPr="000C7CA3">
        <w:t>Part</w:t>
      </w:r>
      <w:r w:rsidR="00CE38BC" w:rsidRPr="000C7CA3">
        <w:rPr>
          <w:rFonts w:hint="eastAsia"/>
        </w:rPr>
        <w:t>ies</w:t>
      </w:r>
      <w:bookmarkEnd w:id="10"/>
      <w:r w:rsidR="00CE38BC" w:rsidRPr="000C7CA3">
        <w:t xml:space="preserve"> </w:t>
      </w:r>
      <w:r w:rsidR="00EA04AE">
        <w:t xml:space="preserve">and </w:t>
      </w:r>
      <w:r w:rsidR="006C4F9A">
        <w:t>VPA</w:t>
      </w:r>
      <w:r w:rsidR="00EA04AE">
        <w:t xml:space="preserve"> implementers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060" w:firstRow="1" w:lastRow="1" w:firstColumn="0" w:lastColumn="0" w:noHBand="0" w:noVBand="0"/>
      </w:tblPr>
      <w:tblGrid>
        <w:gridCol w:w="3209"/>
        <w:gridCol w:w="3210"/>
        <w:gridCol w:w="3210"/>
      </w:tblGrid>
      <w:tr w:rsidR="00CE38BC" w:rsidRPr="00205C60" w14:paraId="0F81D29E" w14:textId="77777777" w:rsidTr="003D6267">
        <w:trPr>
          <w:trHeight w:val="558"/>
          <w:jc w:val="center"/>
        </w:trPr>
        <w:tc>
          <w:tcPr>
            <w:tcW w:w="3209" w:type="dxa"/>
            <w:shd w:val="clear" w:color="auto" w:fill="D9D9D9"/>
            <w:tcMar>
              <w:top w:w="28" w:type="dxa"/>
              <w:left w:w="57" w:type="dxa"/>
              <w:bottom w:w="28" w:type="dxa"/>
              <w:right w:w="57" w:type="dxa"/>
            </w:tcMar>
            <w:vAlign w:val="center"/>
          </w:tcPr>
          <w:p w14:paraId="110B5F4F" w14:textId="77777777" w:rsidR="00CE38BC" w:rsidRPr="00205C60" w:rsidRDefault="00CE38BC" w:rsidP="00B6214D">
            <w:pPr>
              <w:keepNext/>
              <w:spacing w:before="40" w:after="40"/>
              <w:jc w:val="center"/>
              <w:rPr>
                <w:b/>
                <w:sz w:val="20"/>
              </w:rPr>
            </w:pPr>
            <w:r w:rsidRPr="00205C60">
              <w:rPr>
                <w:b/>
                <w:sz w:val="20"/>
              </w:rPr>
              <w:t>Pa</w:t>
            </w:r>
            <w:r w:rsidR="00F2116F" w:rsidRPr="00205C60">
              <w:rPr>
                <w:b/>
                <w:sz w:val="20"/>
              </w:rPr>
              <w:t>rt</w:t>
            </w:r>
            <w:r w:rsidR="00004BD2" w:rsidRPr="00205C60">
              <w:rPr>
                <w:b/>
                <w:sz w:val="20"/>
              </w:rPr>
              <w:t>ies</w:t>
            </w:r>
            <w:r w:rsidR="00F2116F" w:rsidRPr="00205C60">
              <w:rPr>
                <w:b/>
                <w:sz w:val="20"/>
              </w:rPr>
              <w:t xml:space="preserve"> involved </w:t>
            </w:r>
          </w:p>
        </w:tc>
        <w:tc>
          <w:tcPr>
            <w:tcW w:w="3210" w:type="dxa"/>
            <w:shd w:val="clear" w:color="auto" w:fill="D9D9D9"/>
            <w:tcMar>
              <w:top w:w="28" w:type="dxa"/>
              <w:left w:w="57" w:type="dxa"/>
              <w:bottom w:w="28" w:type="dxa"/>
              <w:right w:w="57" w:type="dxa"/>
            </w:tcMar>
            <w:vAlign w:val="center"/>
          </w:tcPr>
          <w:p w14:paraId="7C54168A" w14:textId="77777777" w:rsidR="00CE38BC" w:rsidRPr="00205C60" w:rsidRDefault="006C4F9A" w:rsidP="00ED3F38">
            <w:pPr>
              <w:keepNext/>
              <w:spacing w:before="40" w:after="40"/>
              <w:jc w:val="center"/>
              <w:rPr>
                <w:b/>
                <w:sz w:val="20"/>
              </w:rPr>
            </w:pPr>
            <w:r>
              <w:rPr>
                <w:b/>
                <w:sz w:val="20"/>
              </w:rPr>
              <w:t>VPA</w:t>
            </w:r>
            <w:r w:rsidR="00CE38BC" w:rsidRPr="00205C60">
              <w:rPr>
                <w:b/>
                <w:sz w:val="20"/>
              </w:rPr>
              <w:t xml:space="preserve"> implementers</w:t>
            </w:r>
          </w:p>
        </w:tc>
        <w:tc>
          <w:tcPr>
            <w:tcW w:w="3210" w:type="dxa"/>
            <w:shd w:val="clear" w:color="auto" w:fill="D9D9D9"/>
            <w:tcMar>
              <w:top w:w="28" w:type="dxa"/>
              <w:left w:w="57" w:type="dxa"/>
              <w:bottom w:w="28" w:type="dxa"/>
              <w:right w:w="57" w:type="dxa"/>
            </w:tcMar>
            <w:vAlign w:val="center"/>
          </w:tcPr>
          <w:p w14:paraId="40F198DB" w14:textId="77777777" w:rsidR="00CE38BC" w:rsidRPr="00205C60" w:rsidRDefault="00CE38BC" w:rsidP="00ED3F38">
            <w:pPr>
              <w:keepNext/>
              <w:spacing w:before="40" w:after="40"/>
              <w:jc w:val="center"/>
              <w:rPr>
                <w:b/>
                <w:sz w:val="20"/>
              </w:rPr>
            </w:pPr>
            <w:r w:rsidRPr="00205C60">
              <w:rPr>
                <w:b/>
                <w:sz w:val="20"/>
              </w:rPr>
              <w:t xml:space="preserve">Indicate if the Party involved wishes to be considered as </w:t>
            </w:r>
            <w:r w:rsidR="006C4F9A">
              <w:rPr>
                <w:b/>
                <w:sz w:val="20"/>
              </w:rPr>
              <w:t>VPA</w:t>
            </w:r>
            <w:r w:rsidRPr="00205C60">
              <w:rPr>
                <w:b/>
                <w:sz w:val="20"/>
              </w:rPr>
              <w:t xml:space="preserve"> implementer (Yes/No)</w:t>
            </w:r>
          </w:p>
        </w:tc>
      </w:tr>
      <w:tr w:rsidR="00CE38BC" w:rsidRPr="00205C60" w14:paraId="6EE0A351" w14:textId="77777777" w:rsidTr="003D6267">
        <w:trPr>
          <w:trHeight w:val="512"/>
          <w:jc w:val="center"/>
        </w:trPr>
        <w:tc>
          <w:tcPr>
            <w:tcW w:w="3209" w:type="dxa"/>
            <w:shd w:val="clear" w:color="auto" w:fill="auto"/>
            <w:tcMar>
              <w:top w:w="28" w:type="dxa"/>
              <w:left w:w="57" w:type="dxa"/>
              <w:bottom w:w="28" w:type="dxa"/>
              <w:right w:w="57" w:type="dxa"/>
            </w:tcMar>
          </w:tcPr>
          <w:p w14:paraId="0279AEB3" w14:textId="77777777" w:rsidR="00CE38BC" w:rsidRPr="00205C60" w:rsidRDefault="00EA0566" w:rsidP="00ED3F38">
            <w:pPr>
              <w:keepNext/>
              <w:spacing w:before="20" w:after="20"/>
              <w:rPr>
                <w:sz w:val="20"/>
              </w:rPr>
            </w:pPr>
            <w:r>
              <w:rPr>
                <w:sz w:val="20"/>
              </w:rPr>
              <w:t>Kenya</w:t>
            </w:r>
            <w:r w:rsidR="009846D2">
              <w:rPr>
                <w:sz w:val="20"/>
              </w:rPr>
              <w:t xml:space="preserve"> (host)</w:t>
            </w:r>
          </w:p>
        </w:tc>
        <w:tc>
          <w:tcPr>
            <w:tcW w:w="3210" w:type="dxa"/>
            <w:shd w:val="clear" w:color="auto" w:fill="auto"/>
            <w:tcMar>
              <w:top w:w="28" w:type="dxa"/>
              <w:left w:w="57" w:type="dxa"/>
              <w:bottom w:w="28" w:type="dxa"/>
              <w:right w:w="57" w:type="dxa"/>
            </w:tcMar>
          </w:tcPr>
          <w:p w14:paraId="112FBE74" w14:textId="77777777" w:rsidR="004456CE" w:rsidRPr="00205C60" w:rsidRDefault="00272F89" w:rsidP="009846D2">
            <w:pPr>
              <w:keepNext/>
              <w:spacing w:before="20" w:after="20"/>
              <w:jc w:val="left"/>
              <w:rPr>
                <w:sz w:val="20"/>
              </w:rPr>
            </w:pPr>
            <w:r>
              <w:rPr>
                <w:sz w:val="20"/>
              </w:rPr>
              <w:t>Kenya Biogas Programme (KBP)</w:t>
            </w:r>
          </w:p>
        </w:tc>
        <w:tc>
          <w:tcPr>
            <w:tcW w:w="3210" w:type="dxa"/>
            <w:shd w:val="clear" w:color="auto" w:fill="auto"/>
            <w:tcMar>
              <w:top w:w="28" w:type="dxa"/>
              <w:left w:w="57" w:type="dxa"/>
              <w:bottom w:w="28" w:type="dxa"/>
              <w:right w:w="57" w:type="dxa"/>
            </w:tcMar>
          </w:tcPr>
          <w:p w14:paraId="6FAA2F2C" w14:textId="77777777" w:rsidR="00CE38BC" w:rsidRPr="00205C60" w:rsidRDefault="009846D2" w:rsidP="00ED3F38">
            <w:pPr>
              <w:keepNext/>
              <w:spacing w:before="20" w:after="20"/>
              <w:rPr>
                <w:sz w:val="20"/>
              </w:rPr>
            </w:pPr>
            <w:r>
              <w:rPr>
                <w:sz w:val="20"/>
              </w:rPr>
              <w:t xml:space="preserve">No </w:t>
            </w:r>
          </w:p>
        </w:tc>
      </w:tr>
    </w:tbl>
    <w:p w14:paraId="3AE64FD7" w14:textId="77777777" w:rsidR="00EB3DD9" w:rsidRDefault="00EB3DD9" w:rsidP="00EB3DD9">
      <w:pPr>
        <w:pStyle w:val="SDMPDDPoASubSection1"/>
        <w:numPr>
          <w:ilvl w:val="2"/>
          <w:numId w:val="12"/>
        </w:numPr>
        <w:ind w:left="709" w:hanging="709"/>
      </w:pPr>
      <w:r w:rsidRPr="000C7CA3">
        <w:tab/>
      </w:r>
      <w:r w:rsidR="00243426">
        <w:t>P</w:t>
      </w:r>
      <w:r w:rsidRPr="000C7CA3">
        <w:t>ublic funding of</w:t>
      </w:r>
      <w:r w:rsidR="008567ED">
        <w:t xml:space="preserve"> </w:t>
      </w:r>
      <w:r w:rsidR="006C4F9A">
        <w:t>VPA</w:t>
      </w:r>
    </w:p>
    <w:p w14:paraId="3091B6DC" w14:textId="77777777" w:rsidR="00BF22DE" w:rsidRPr="0089085E" w:rsidRDefault="00BF22DE" w:rsidP="0089085E">
      <w:pPr>
        <w:pStyle w:val="SDMPDDPoASubSection1"/>
        <w:keepNext w:val="0"/>
        <w:keepLines w:val="0"/>
        <w:spacing w:before="0" w:after="0"/>
        <w:rPr>
          <w:b w:val="0"/>
        </w:rPr>
      </w:pPr>
      <w:r w:rsidRPr="0089085E">
        <w:rPr>
          <w:b w:val="0"/>
        </w:rPr>
        <w:t>&gt;&gt;</w:t>
      </w:r>
    </w:p>
    <w:p w14:paraId="6120E1E6" w14:textId="77777777" w:rsidR="009630FB" w:rsidRPr="0003707C" w:rsidRDefault="009630FB" w:rsidP="009630FB">
      <w:pPr>
        <w:rPr>
          <w:rFonts w:cs="Arial"/>
        </w:rPr>
      </w:pPr>
      <w:r w:rsidRPr="0003707C">
        <w:rPr>
          <w:rFonts w:cs="Arial"/>
        </w:rPr>
        <w:t>The Directorate General for International Cooperation (DGIS) under the Netherlands Ministry of Foreign Affairs provides public funding. The VPA is being supported by DGIS through the Humanist Institute for Cooperation with Developing Countries (Hivos). There has been no diversion of Official Development Assistance (ODA) as demonstrated in the d</w:t>
      </w:r>
      <w:r w:rsidR="000E1266">
        <w:rPr>
          <w:rFonts w:cs="Arial"/>
        </w:rPr>
        <w:t>eclarations provided to the DOE</w:t>
      </w:r>
      <w:r w:rsidR="000E1266">
        <w:rPr>
          <w:rStyle w:val="FootnoteReference"/>
          <w:rFonts w:cs="Arial"/>
        </w:rPr>
        <w:footnoteReference w:id="10"/>
      </w:r>
      <w:r w:rsidR="000E1266">
        <w:rPr>
          <w:rFonts w:cs="Arial"/>
        </w:rPr>
        <w:t>.</w:t>
      </w:r>
    </w:p>
    <w:p w14:paraId="45871570" w14:textId="77777777" w:rsidR="005E608C" w:rsidRPr="000C7CA3" w:rsidRDefault="005E608C" w:rsidP="006B07A7">
      <w:pPr>
        <w:rPr>
          <w:rFonts w:cs="Arial"/>
          <w:lang w:eastAsia="en-US"/>
        </w:rPr>
      </w:pPr>
    </w:p>
    <w:p w14:paraId="6A4E3E34" w14:textId="77777777" w:rsidR="00CE09E9" w:rsidRPr="000C7CA3" w:rsidRDefault="00CE09E9" w:rsidP="0089085E">
      <w:pPr>
        <w:pStyle w:val="SDMPDDPoASubSection1"/>
        <w:numPr>
          <w:ilvl w:val="2"/>
          <w:numId w:val="12"/>
        </w:numPr>
        <w:tabs>
          <w:tab w:val="clear" w:pos="1474"/>
        </w:tabs>
      </w:pPr>
      <w:r w:rsidRPr="000C7CA3">
        <w:tab/>
      </w:r>
      <w:r w:rsidR="00C26045">
        <w:t>History of</w:t>
      </w:r>
      <w:r w:rsidR="00C96447">
        <w:t xml:space="preserve"> </w:t>
      </w:r>
      <w:r w:rsidR="006C4F9A">
        <w:t>VPA</w:t>
      </w:r>
    </w:p>
    <w:p w14:paraId="56B54CE5" w14:textId="77777777" w:rsidR="000610E3" w:rsidRDefault="000610E3" w:rsidP="000610E3">
      <w:r>
        <w:t>&gt;&gt;</w:t>
      </w:r>
    </w:p>
    <w:p w14:paraId="0453DEA3" w14:textId="77777777" w:rsidR="00A11AE2" w:rsidRDefault="00A11AE2" w:rsidP="0089085E">
      <w:pPr>
        <w:pStyle w:val="SDMPDDPoASubSection1"/>
        <w:keepNext w:val="0"/>
        <w:keepLines w:val="0"/>
        <w:spacing w:before="0" w:after="0"/>
        <w:rPr>
          <w:rFonts w:eastAsia="Times New Roman" w:cs="Times New Roman"/>
          <w:b w:val="0"/>
          <w:szCs w:val="20"/>
        </w:rPr>
      </w:pPr>
    </w:p>
    <w:p w14:paraId="2090C6D8" w14:textId="0CE99079" w:rsidR="000E1266" w:rsidRDefault="00A11AE2" w:rsidP="0089085E">
      <w:pPr>
        <w:pStyle w:val="SDMPDDPoASubSection1"/>
        <w:keepNext w:val="0"/>
        <w:keepLines w:val="0"/>
        <w:spacing w:before="0" w:after="0"/>
        <w:rPr>
          <w:rFonts w:eastAsia="Times New Roman" w:cs="Times New Roman"/>
          <w:b w:val="0"/>
          <w:szCs w:val="20"/>
        </w:rPr>
      </w:pPr>
      <w:r>
        <w:rPr>
          <w:rFonts w:eastAsia="Times New Roman" w:cs="Times New Roman"/>
          <w:b w:val="0"/>
          <w:szCs w:val="20"/>
        </w:rPr>
        <w:t xml:space="preserve">VPA006 is the second VPA in Kenya under the African Biogas Carbon Programme (ABC). VPA001 was registered on 11/06/2015, and includes approximately 11,400 digesters installed since 06/11/09 up to and including 31/12/2013. </w:t>
      </w:r>
      <w:r w:rsidR="008341EA">
        <w:rPr>
          <w:rFonts w:eastAsia="Times New Roman" w:cs="Times New Roman"/>
          <w:b w:val="0"/>
          <w:szCs w:val="20"/>
        </w:rPr>
        <w:t>Since then, KBP</w:t>
      </w:r>
      <w:r w:rsidR="00E50C45">
        <w:rPr>
          <w:rFonts w:eastAsia="Times New Roman" w:cs="Times New Roman"/>
          <w:b w:val="0"/>
          <w:szCs w:val="20"/>
        </w:rPr>
        <w:t xml:space="preserve"> has continued to implement biogas digesters over the years 2014, 2015</w:t>
      </w:r>
      <w:r w:rsidR="00163173">
        <w:rPr>
          <w:rFonts w:eastAsia="Times New Roman" w:cs="Times New Roman"/>
          <w:b w:val="0"/>
          <w:szCs w:val="20"/>
        </w:rPr>
        <w:t xml:space="preserve">, </w:t>
      </w:r>
      <w:r w:rsidR="00E50C45">
        <w:rPr>
          <w:rFonts w:eastAsia="Times New Roman" w:cs="Times New Roman"/>
          <w:b w:val="0"/>
          <w:szCs w:val="20"/>
        </w:rPr>
        <w:t>2016</w:t>
      </w:r>
      <w:r w:rsidR="00163173">
        <w:rPr>
          <w:rFonts w:eastAsia="Times New Roman" w:cs="Times New Roman"/>
          <w:b w:val="0"/>
          <w:szCs w:val="20"/>
        </w:rPr>
        <w:t xml:space="preserve"> and 2017</w:t>
      </w:r>
      <w:r w:rsidR="00E50C45">
        <w:rPr>
          <w:rFonts w:eastAsia="Times New Roman" w:cs="Times New Roman"/>
          <w:b w:val="0"/>
          <w:szCs w:val="20"/>
        </w:rPr>
        <w:t xml:space="preserve"> in accordance with the Gold Standard requirements. Hivos </w:t>
      </w:r>
      <w:r w:rsidR="008341EA">
        <w:rPr>
          <w:rFonts w:eastAsia="Times New Roman" w:cs="Times New Roman"/>
          <w:b w:val="0"/>
          <w:szCs w:val="20"/>
        </w:rPr>
        <w:t xml:space="preserve">– the CME - </w:t>
      </w:r>
      <w:r w:rsidR="00E50C45">
        <w:rPr>
          <w:rFonts w:eastAsia="Times New Roman" w:cs="Times New Roman"/>
          <w:b w:val="0"/>
          <w:szCs w:val="20"/>
        </w:rPr>
        <w:t xml:space="preserve">had originally intended to include these digesters in VPA001, but it became clear during the inclusion that VPA001 was at the small-scale capacity limit, and that a new VPA would therefore need to be included to accommodate the digesters installed from 01/01/2014 onwards. </w:t>
      </w:r>
    </w:p>
    <w:p w14:paraId="6D2905B6" w14:textId="77777777" w:rsidR="000E1266" w:rsidRDefault="000E1266" w:rsidP="0089085E">
      <w:pPr>
        <w:pStyle w:val="SDMPDDPoASubSection1"/>
        <w:keepNext w:val="0"/>
        <w:keepLines w:val="0"/>
        <w:spacing w:before="0" w:after="0"/>
        <w:rPr>
          <w:rFonts w:eastAsia="Times New Roman" w:cs="Times New Roman"/>
          <w:b w:val="0"/>
          <w:szCs w:val="20"/>
        </w:rPr>
      </w:pPr>
    </w:p>
    <w:p w14:paraId="59CD0EA0" w14:textId="77777777" w:rsidR="000978C2" w:rsidRDefault="00DE6BC7" w:rsidP="0089085E">
      <w:pPr>
        <w:pStyle w:val="SDMPDDPoASubSection1"/>
        <w:keepNext w:val="0"/>
        <w:keepLines w:val="0"/>
        <w:spacing w:before="0" w:after="0"/>
        <w:rPr>
          <w:rFonts w:eastAsia="Times New Roman" w:cs="Times New Roman"/>
          <w:b w:val="0"/>
          <w:szCs w:val="20"/>
        </w:rPr>
      </w:pPr>
      <w:r>
        <w:rPr>
          <w:rFonts w:eastAsia="Times New Roman" w:cs="Times New Roman"/>
          <w:b w:val="0"/>
          <w:szCs w:val="20"/>
        </w:rPr>
        <w:t>On</w:t>
      </w:r>
      <w:r w:rsidR="00E50C45">
        <w:rPr>
          <w:rFonts w:eastAsia="Times New Roman" w:cs="Times New Roman"/>
          <w:b w:val="0"/>
          <w:szCs w:val="20"/>
        </w:rPr>
        <w:t xml:space="preserve"> 22/01/2015, the Gold Standard issued a rule update “Revision in the rules and requirement for Prior Consideration of Carbon Revenues for GS-VER projects”. This rule update states that “</w:t>
      </w:r>
      <w:r w:rsidR="00E50C45" w:rsidRPr="00E50C45">
        <w:rPr>
          <w:rFonts w:eastAsia="Times New Roman" w:cs="Times New Roman"/>
          <w:b w:val="0"/>
          <w:i/>
          <w:szCs w:val="20"/>
        </w:rPr>
        <w:t xml:space="preserve">In order </w:t>
      </w:r>
      <w:r w:rsidR="00E50C45" w:rsidRPr="00E50C45">
        <w:rPr>
          <w:rFonts w:eastAsia="Times New Roman" w:cs="Times New Roman"/>
          <w:b w:val="0"/>
          <w:i/>
          <w:szCs w:val="20"/>
        </w:rPr>
        <w:lastRenderedPageBreak/>
        <w:t>to be eligible under Gold Standard, retroactive V</w:t>
      </w:r>
      <w:r w:rsidR="00F02406">
        <w:rPr>
          <w:rFonts w:eastAsia="Times New Roman" w:cs="Times New Roman"/>
          <w:b w:val="0"/>
          <w:i/>
          <w:szCs w:val="20"/>
        </w:rPr>
        <w:t xml:space="preserve">PAs </w:t>
      </w:r>
      <w:r w:rsidR="00E50C45" w:rsidRPr="00E50C45">
        <w:rPr>
          <w:rFonts w:eastAsia="Times New Roman" w:cs="Times New Roman"/>
          <w:b w:val="0"/>
          <w:i/>
          <w:szCs w:val="20"/>
        </w:rPr>
        <w:t>must submit the required documents to the Gold Standard (time of first submission) within one year from the project start date. Retroactive VPA documents submitted at a date later than one year from the project start date will not be eligible for Gold Standard certification. These requirements are applicable for VPAs that have a date of first submission on or after 1</w:t>
      </w:r>
      <w:r w:rsidR="00E50C45" w:rsidRPr="00E50C45">
        <w:rPr>
          <w:rFonts w:eastAsia="Times New Roman" w:cs="Times New Roman"/>
          <w:b w:val="0"/>
          <w:i/>
          <w:szCs w:val="20"/>
          <w:vertAlign w:val="superscript"/>
        </w:rPr>
        <w:t>st</w:t>
      </w:r>
      <w:r w:rsidR="00E50C45" w:rsidRPr="00E50C45">
        <w:rPr>
          <w:rFonts w:eastAsia="Times New Roman" w:cs="Times New Roman"/>
          <w:b w:val="0"/>
          <w:i/>
          <w:szCs w:val="20"/>
        </w:rPr>
        <w:t xml:space="preserve"> June 2015</w:t>
      </w:r>
      <w:r w:rsidR="00E50C45">
        <w:rPr>
          <w:rFonts w:eastAsia="Times New Roman" w:cs="Times New Roman"/>
          <w:b w:val="0"/>
          <w:szCs w:val="20"/>
        </w:rPr>
        <w:t xml:space="preserve">”. This had implications for the digesters installed in Kenya from 01/01/2014, since these could not have been included in VPA001 due to the capacity limit. </w:t>
      </w:r>
      <w:r w:rsidR="00F02406">
        <w:rPr>
          <w:rFonts w:eastAsia="Times New Roman" w:cs="Times New Roman"/>
          <w:b w:val="0"/>
          <w:szCs w:val="20"/>
        </w:rPr>
        <w:t>A memo</w:t>
      </w:r>
      <w:r w:rsidR="00975233">
        <w:rPr>
          <w:rStyle w:val="FootnoteReference"/>
          <w:rFonts w:eastAsia="Times New Roman" w:cs="Times New Roman"/>
          <w:b w:val="0"/>
          <w:szCs w:val="20"/>
        </w:rPr>
        <w:footnoteReference w:id="11"/>
      </w:r>
      <w:r w:rsidR="00F02406">
        <w:rPr>
          <w:rFonts w:eastAsia="Times New Roman" w:cs="Times New Roman"/>
          <w:b w:val="0"/>
          <w:szCs w:val="20"/>
        </w:rPr>
        <w:t xml:space="preserve"> was therefore prepared to apply for an exception to this rule through demonstrating prior consideration of carbon revenues. The Gold Standard approved</w:t>
      </w:r>
      <w:r w:rsidR="000E1266">
        <w:rPr>
          <w:rStyle w:val="FootnoteReference"/>
          <w:rFonts w:eastAsia="Times New Roman" w:cs="Times New Roman"/>
          <w:b w:val="0"/>
          <w:szCs w:val="20"/>
        </w:rPr>
        <w:footnoteReference w:id="12"/>
      </w:r>
      <w:r w:rsidR="00F02406">
        <w:rPr>
          <w:rFonts w:eastAsia="Times New Roman" w:cs="Times New Roman"/>
          <w:b w:val="0"/>
          <w:szCs w:val="20"/>
        </w:rPr>
        <w:t xml:space="preserve"> the exception on 30 March 2017, and invited Hivos to open a new VPA under PoA GS2747 for the inclusion of biogas digesters installed in Kenya from 2014 onwards. </w:t>
      </w:r>
    </w:p>
    <w:p w14:paraId="2AB7058A" w14:textId="77777777" w:rsidR="00DE6BC7" w:rsidRDefault="00DE6BC7" w:rsidP="0089085E">
      <w:pPr>
        <w:pStyle w:val="SDMPDDPoASubSection1"/>
        <w:keepNext w:val="0"/>
        <w:keepLines w:val="0"/>
        <w:spacing w:before="0" w:after="0"/>
        <w:rPr>
          <w:rFonts w:eastAsia="Times New Roman" w:cs="Times New Roman"/>
          <w:b w:val="0"/>
          <w:szCs w:val="20"/>
        </w:rPr>
      </w:pPr>
    </w:p>
    <w:p w14:paraId="4A5C4ACF" w14:textId="77777777" w:rsidR="00DE6BC7" w:rsidRDefault="00DE6BC7" w:rsidP="00DE6BC7">
      <w:pPr>
        <w:pStyle w:val="SDMPDDPoASubSection1"/>
        <w:keepNext w:val="0"/>
        <w:keepLines w:val="0"/>
        <w:spacing w:before="0" w:after="0"/>
        <w:rPr>
          <w:rFonts w:eastAsia="Times New Roman" w:cs="Times New Roman"/>
          <w:b w:val="0"/>
          <w:szCs w:val="20"/>
        </w:rPr>
      </w:pPr>
      <w:r>
        <w:rPr>
          <w:rFonts w:eastAsia="Times New Roman" w:cs="Times New Roman"/>
          <w:b w:val="0"/>
          <w:szCs w:val="20"/>
        </w:rPr>
        <w:t xml:space="preserve">The proposed VPA006 is not registered as a CDM or Gold Standard project activity, nor included in another registered CDM or Gold Standard PoA. The proposed VPA is not a project activity that has been deregistered. The proposed VPA was not a VPA that has been excluded from a registered CDM or Gold Standard PoA. </w:t>
      </w:r>
    </w:p>
    <w:p w14:paraId="51AED292" w14:textId="77777777" w:rsidR="00E50C45" w:rsidRPr="000C7CA3" w:rsidRDefault="00E50C45" w:rsidP="0089085E">
      <w:pPr>
        <w:pStyle w:val="SDMPDDPoASubSection1"/>
        <w:keepNext w:val="0"/>
        <w:keepLines w:val="0"/>
        <w:spacing w:before="0" w:after="0"/>
      </w:pPr>
    </w:p>
    <w:p w14:paraId="3AD1100B" w14:textId="77777777" w:rsidR="000978C2" w:rsidRPr="000C7CA3" w:rsidRDefault="000D25FD" w:rsidP="0089085E">
      <w:pPr>
        <w:pStyle w:val="SDMPDDPoASubSection1"/>
        <w:numPr>
          <w:ilvl w:val="2"/>
          <w:numId w:val="12"/>
        </w:numPr>
        <w:tabs>
          <w:tab w:val="clear" w:pos="1474"/>
        </w:tabs>
        <w:ind w:left="709" w:hanging="709"/>
      </w:pPr>
      <w:r w:rsidRPr="000C7CA3">
        <w:tab/>
      </w:r>
      <w:r w:rsidR="00EF23B3">
        <w:t>Debundling</w:t>
      </w:r>
    </w:p>
    <w:p w14:paraId="01614A25" w14:textId="77777777" w:rsidR="005E608C" w:rsidRPr="000C7CA3" w:rsidRDefault="005E608C" w:rsidP="00E238D3">
      <w:pPr>
        <w:rPr>
          <w:rFonts w:cs="Arial"/>
          <w:lang w:eastAsia="en-US"/>
        </w:rPr>
      </w:pPr>
      <w:r w:rsidRPr="000C7CA3">
        <w:rPr>
          <w:rFonts w:cs="Arial"/>
          <w:lang w:eastAsia="en-US"/>
        </w:rPr>
        <w:t>&gt;&gt;</w:t>
      </w:r>
    </w:p>
    <w:p w14:paraId="0C66203F" w14:textId="77777777" w:rsidR="009630FB" w:rsidRPr="0003707C" w:rsidRDefault="009630FB" w:rsidP="009630FB">
      <w:pPr>
        <w:rPr>
          <w:rFonts w:cs="Arial"/>
        </w:rPr>
      </w:pPr>
      <w:r w:rsidRPr="0003707C">
        <w:rPr>
          <w:rFonts w:cs="Arial"/>
        </w:rPr>
        <w:t>According to the Guidelines on assessment of de-bundling for SSC project activities (version 03) published as annex 13 of the meeting report of EB 54</w:t>
      </w:r>
      <w:r w:rsidRPr="0003707C">
        <w:rPr>
          <w:rFonts w:cs="Arial"/>
          <w:vertAlign w:val="superscript"/>
        </w:rPr>
        <w:footnoteReference w:id="13"/>
      </w:r>
      <w:r w:rsidRPr="0003707C">
        <w:rPr>
          <w:rFonts w:cs="Arial"/>
        </w:rPr>
        <w:t xml:space="preserve"> the VPA is exempted from performing a de-bundling check i.e. considered as being not a de-bundled component of a large-scale activity if the following condition applies:</w:t>
      </w:r>
    </w:p>
    <w:p w14:paraId="44EFCA35" w14:textId="77777777" w:rsidR="009630FB" w:rsidRPr="0003707C" w:rsidRDefault="009630FB" w:rsidP="009630FB">
      <w:pPr>
        <w:rPr>
          <w:rFonts w:cs="Arial"/>
        </w:rPr>
      </w:pPr>
    </w:p>
    <w:p w14:paraId="3E2D36DF" w14:textId="77777777" w:rsidR="009630FB" w:rsidRPr="0003707C" w:rsidRDefault="009630FB" w:rsidP="009630FB">
      <w:pPr>
        <w:rPr>
          <w:rFonts w:cs="Arial"/>
          <w:i/>
          <w:iCs/>
        </w:rPr>
      </w:pPr>
      <w:r w:rsidRPr="0003707C">
        <w:rPr>
          <w:rFonts w:cs="Arial"/>
          <w:i/>
          <w:iCs/>
        </w:rPr>
        <w:t>10.</w:t>
      </w:r>
      <w:r w:rsidRPr="0003707C">
        <w:rPr>
          <w:rFonts w:cs="Arial"/>
          <w:i/>
          <w:iCs/>
        </w:rPr>
        <w:tab/>
        <w:t>If each of the independent subsystems/measures (e.g. biogas digester, solar home system) included in the VPA of a PoA is no greater than 1% of the small-scale thresholds defined by the methodology applied</w:t>
      </w:r>
      <w:r>
        <w:rPr>
          <w:rFonts w:cs="Arial"/>
          <w:i/>
          <w:iCs/>
        </w:rPr>
        <w:t>,</w:t>
      </w:r>
      <w:r w:rsidRPr="0003707C">
        <w:rPr>
          <w:rFonts w:cs="Arial"/>
          <w:i/>
          <w:iCs/>
          <w:vertAlign w:val="superscript"/>
        </w:rPr>
        <w:footnoteReference w:id="14"/>
      </w:r>
      <w:r w:rsidRPr="0003707C">
        <w:rPr>
          <w:rFonts w:cs="Arial"/>
          <w:i/>
          <w:iCs/>
        </w:rPr>
        <w:t xml:space="preserve"> then that VPA of PoA is exempted from performing de-bundling check i.e. considered as not being a de-bundled component of a large scale activity.</w:t>
      </w:r>
    </w:p>
    <w:p w14:paraId="679EE279" w14:textId="77777777" w:rsidR="009630FB" w:rsidRPr="0003707C" w:rsidRDefault="009630FB" w:rsidP="009630FB">
      <w:pPr>
        <w:rPr>
          <w:rFonts w:cs="Arial"/>
        </w:rPr>
      </w:pPr>
    </w:p>
    <w:p w14:paraId="55633783" w14:textId="77777777" w:rsidR="005E608C" w:rsidRDefault="009630FB" w:rsidP="009630FB">
      <w:pPr>
        <w:rPr>
          <w:rFonts w:cs="Arial"/>
        </w:rPr>
      </w:pPr>
      <w:r w:rsidRPr="0003707C">
        <w:rPr>
          <w:rFonts w:cs="Arial"/>
        </w:rPr>
        <w:t xml:space="preserve">Each of the biogas systems included in the VPA is not greater than 1% of the small-scale threshold which is </w:t>
      </w:r>
      <w:r>
        <w:rPr>
          <w:rFonts w:cs="Arial"/>
        </w:rPr>
        <w:t>4</w:t>
      </w:r>
      <w:r w:rsidRPr="0003707C">
        <w:rPr>
          <w:rFonts w:cs="Arial"/>
        </w:rPr>
        <w:t>50 kW</w:t>
      </w:r>
      <w:r>
        <w:rPr>
          <w:rFonts w:cs="Arial"/>
          <w:vertAlign w:val="subscript"/>
        </w:rPr>
        <w:t>th</w:t>
      </w:r>
      <w:r w:rsidRPr="0003707C">
        <w:rPr>
          <w:rFonts w:cs="Arial"/>
        </w:rPr>
        <w:t xml:space="preserve"> for th</w:t>
      </w:r>
      <w:r>
        <w:rPr>
          <w:rFonts w:cs="Arial"/>
        </w:rPr>
        <w:t xml:space="preserve">ermal energy as </w:t>
      </w:r>
      <w:r w:rsidR="009761FF">
        <w:rPr>
          <w:rFonts w:cs="Arial"/>
        </w:rPr>
        <w:t xml:space="preserve">demonstrated in the ER calculations spreadsheet, sheet ‘capacity calculation’. </w:t>
      </w:r>
      <w:r w:rsidR="007929E0">
        <w:rPr>
          <w:rFonts w:cs="Arial"/>
        </w:rPr>
        <w:t xml:space="preserve"> </w:t>
      </w:r>
    </w:p>
    <w:p w14:paraId="5A558A95" w14:textId="77777777" w:rsidR="009630FB" w:rsidRPr="009630FB" w:rsidRDefault="009630FB" w:rsidP="009630FB">
      <w:pPr>
        <w:rPr>
          <w:rFonts w:cs="Arial"/>
          <w:i/>
          <w:lang w:eastAsia="en-US"/>
        </w:rPr>
      </w:pPr>
    </w:p>
    <w:p w14:paraId="1EB268D9" w14:textId="77777777" w:rsidR="000978C2" w:rsidRPr="000C7CA3" w:rsidRDefault="005D01F7" w:rsidP="001E0142">
      <w:pPr>
        <w:pStyle w:val="SDMPDDPoASection"/>
        <w:numPr>
          <w:ilvl w:val="0"/>
          <w:numId w:val="30"/>
        </w:numPr>
        <w:tabs>
          <w:tab w:val="num" w:pos="2835"/>
        </w:tabs>
        <w:ind w:left="1729" w:hanging="1729"/>
      </w:pPr>
      <w:r>
        <w:t>Application of selected methodologies and standardized baselines</w:t>
      </w:r>
    </w:p>
    <w:p w14:paraId="3D6D03D4" w14:textId="77777777" w:rsidR="000978C2" w:rsidRPr="000C7CA3" w:rsidRDefault="00371D3C" w:rsidP="001E0142">
      <w:pPr>
        <w:pStyle w:val="SDMPDDPoASubSection1"/>
        <w:numPr>
          <w:ilvl w:val="1"/>
          <w:numId w:val="30"/>
        </w:numPr>
      </w:pPr>
      <w:r w:rsidRPr="000C7CA3">
        <w:t>R</w:t>
      </w:r>
      <w:r w:rsidR="000978C2" w:rsidRPr="000C7CA3">
        <w:t xml:space="preserve">eference </w:t>
      </w:r>
      <w:r w:rsidR="00A4100A">
        <w:t>to</w:t>
      </w:r>
      <w:r w:rsidR="000978C2" w:rsidRPr="000C7CA3">
        <w:t xml:space="preserve"> </w:t>
      </w:r>
      <w:r w:rsidRPr="000C7CA3">
        <w:t>methodologies and standardized baselines</w:t>
      </w:r>
    </w:p>
    <w:p w14:paraId="1A38C24C" w14:textId="77777777" w:rsidR="00371D3C" w:rsidRPr="000C7CA3" w:rsidRDefault="00371D3C" w:rsidP="00E238D3">
      <w:pPr>
        <w:rPr>
          <w:rFonts w:cs="Arial"/>
          <w:lang w:eastAsia="en-US"/>
        </w:rPr>
      </w:pPr>
      <w:r w:rsidRPr="000C7CA3">
        <w:rPr>
          <w:rFonts w:cs="Arial"/>
          <w:lang w:eastAsia="en-US"/>
        </w:rPr>
        <w:t>&gt;&gt;</w:t>
      </w:r>
    </w:p>
    <w:p w14:paraId="0E828EC4" w14:textId="77777777" w:rsidR="00371D3C" w:rsidRDefault="009630FB" w:rsidP="00E238D3">
      <w:pPr>
        <w:rPr>
          <w:rFonts w:cs="Arial"/>
          <w:szCs w:val="18"/>
        </w:rPr>
      </w:pPr>
      <w:r w:rsidRPr="00F02406">
        <w:rPr>
          <w:rFonts w:cs="Arial"/>
          <w:szCs w:val="18"/>
        </w:rPr>
        <w:t>Gold Standard methodology “Technologies and Practices to Displace Decentralized Thermal Energy Consumption</w:t>
      </w:r>
      <w:r w:rsidR="00CB783F">
        <w:rPr>
          <w:rFonts w:cs="Arial"/>
          <w:szCs w:val="18"/>
        </w:rPr>
        <w:t>” (V</w:t>
      </w:r>
      <w:r w:rsidR="00762920">
        <w:rPr>
          <w:rFonts w:cs="Arial"/>
          <w:szCs w:val="18"/>
        </w:rPr>
        <w:t>ersion 1</w:t>
      </w:r>
      <w:r w:rsidRPr="00990366">
        <w:rPr>
          <w:rFonts w:cs="Arial"/>
          <w:szCs w:val="18"/>
        </w:rPr>
        <w:t>.0)</w:t>
      </w:r>
    </w:p>
    <w:p w14:paraId="41ABAEAC" w14:textId="77777777" w:rsidR="00227CC3" w:rsidRDefault="00227CC3" w:rsidP="00E238D3">
      <w:pPr>
        <w:rPr>
          <w:rFonts w:cs="Arial"/>
          <w:szCs w:val="18"/>
        </w:rPr>
      </w:pPr>
    </w:p>
    <w:p w14:paraId="7258E289" w14:textId="77777777" w:rsidR="00227CC3" w:rsidRDefault="00227CC3" w:rsidP="00E238D3">
      <w:pPr>
        <w:rPr>
          <w:rFonts w:cs="Arial"/>
          <w:lang w:val="en-US"/>
        </w:rPr>
      </w:pPr>
      <w:r w:rsidRPr="006505E8">
        <w:rPr>
          <w:rFonts w:cs="Arial"/>
          <w:lang w:val="en-US"/>
        </w:rPr>
        <w:t>This methodology is applicable to programs or activities introducing technologies and/or practices that reduce or displace greenhouse gas (GHG) emissions from the thermal energy consumption of households, communities and SM</w:t>
      </w:r>
      <w:r>
        <w:rPr>
          <w:rFonts w:cs="Arial"/>
          <w:lang w:val="en-US"/>
        </w:rPr>
        <w:t>Es. This includes bio</w:t>
      </w:r>
      <w:r w:rsidR="003A25A6">
        <w:rPr>
          <w:rFonts w:cs="Arial"/>
          <w:lang w:val="en-US"/>
        </w:rPr>
        <w:t>gas</w:t>
      </w:r>
      <w:r w:rsidR="00CB783F">
        <w:rPr>
          <w:rFonts w:cs="Arial"/>
          <w:lang w:val="en-US"/>
        </w:rPr>
        <w:t xml:space="preserve"> digesters.</w:t>
      </w:r>
    </w:p>
    <w:p w14:paraId="56F78ABE" w14:textId="77777777" w:rsidR="00227CC3" w:rsidRDefault="00B53A36" w:rsidP="00CB783F">
      <w:pPr>
        <w:pStyle w:val="Caption"/>
        <w:ind w:hanging="1956"/>
        <w:rPr>
          <w:rFonts w:cs="Arial"/>
          <w:i/>
          <w:iCs/>
        </w:rPr>
      </w:pPr>
      <w:r w:rsidRPr="00B53A36">
        <w:lastRenderedPageBreak/>
        <w:t xml:space="preserve">Table </w:t>
      </w:r>
      <w:r w:rsidR="00386F9E" w:rsidRPr="00B53A36">
        <w:fldChar w:fldCharType="begin"/>
      </w:r>
      <w:r w:rsidRPr="00B53A36">
        <w:instrText xml:space="preserve"> SEQ Table \* ARABIC </w:instrText>
      </w:r>
      <w:r w:rsidR="00386F9E" w:rsidRPr="00B53A36">
        <w:fldChar w:fldCharType="separate"/>
      </w:r>
      <w:r w:rsidR="00FE38F8">
        <w:rPr>
          <w:noProof/>
        </w:rPr>
        <w:t>2</w:t>
      </w:r>
      <w:r w:rsidR="00386F9E" w:rsidRPr="00B53A36">
        <w:fldChar w:fldCharType="end"/>
      </w:r>
      <w:r w:rsidRPr="00B53A36">
        <w:t xml:space="preserve"> </w:t>
      </w:r>
      <w:r w:rsidR="00227CC3" w:rsidRPr="00CB783F">
        <w:rPr>
          <w:rFonts w:cs="Arial"/>
          <w:b w:val="0"/>
          <w:i/>
          <w:iCs/>
        </w:rPr>
        <w:t>Methodological applicability conditions applied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A0" w:firstRow="1" w:lastRow="0" w:firstColumn="1" w:lastColumn="0" w:noHBand="0" w:noVBand="0"/>
      </w:tblPr>
      <w:tblGrid>
        <w:gridCol w:w="4820"/>
        <w:gridCol w:w="4809"/>
      </w:tblGrid>
      <w:tr w:rsidR="00227CC3" w:rsidRPr="006505E8" w14:paraId="1BA63880" w14:textId="77777777" w:rsidTr="00102BAE">
        <w:trPr>
          <w:tblHeader/>
        </w:trPr>
        <w:tc>
          <w:tcPr>
            <w:tcW w:w="2503" w:type="pct"/>
            <w:tcBorders>
              <w:top w:val="single" w:sz="4" w:space="0" w:color="000000"/>
              <w:left w:val="single" w:sz="4" w:space="0" w:color="000000"/>
              <w:bottom w:val="single" w:sz="4" w:space="0" w:color="000000"/>
              <w:right w:val="single" w:sz="4" w:space="0" w:color="000000"/>
            </w:tcBorders>
            <w:shd w:val="clear" w:color="auto" w:fill="D9D9D9"/>
          </w:tcPr>
          <w:p w14:paraId="7192874B" w14:textId="77777777" w:rsidR="00227CC3" w:rsidRPr="006505E8" w:rsidRDefault="00227CC3" w:rsidP="00102BAE">
            <w:pPr>
              <w:rPr>
                <w:rFonts w:cs="Arial"/>
                <w:b/>
              </w:rPr>
            </w:pPr>
            <w:r w:rsidRPr="006505E8">
              <w:rPr>
                <w:rFonts w:cs="Arial"/>
                <w:b/>
              </w:rPr>
              <w:t>Applicability criteria</w:t>
            </w:r>
          </w:p>
        </w:tc>
        <w:tc>
          <w:tcPr>
            <w:tcW w:w="2497" w:type="pct"/>
            <w:tcBorders>
              <w:top w:val="single" w:sz="4" w:space="0" w:color="000000"/>
              <w:left w:val="single" w:sz="4" w:space="0" w:color="000000"/>
              <w:bottom w:val="single" w:sz="4" w:space="0" w:color="000000"/>
              <w:right w:val="single" w:sz="4" w:space="0" w:color="000000"/>
            </w:tcBorders>
            <w:shd w:val="clear" w:color="auto" w:fill="D9D9D9"/>
          </w:tcPr>
          <w:p w14:paraId="1D5D3425" w14:textId="77777777" w:rsidR="00227CC3" w:rsidRPr="006505E8" w:rsidRDefault="00227CC3" w:rsidP="00102BAE">
            <w:pPr>
              <w:rPr>
                <w:rFonts w:cs="Arial"/>
                <w:b/>
              </w:rPr>
            </w:pPr>
            <w:r w:rsidRPr="006505E8">
              <w:rPr>
                <w:rFonts w:cs="Arial"/>
                <w:b/>
              </w:rPr>
              <w:t>Justification</w:t>
            </w:r>
          </w:p>
        </w:tc>
      </w:tr>
      <w:tr w:rsidR="00227CC3" w:rsidRPr="006505E8" w14:paraId="41D693F7" w14:textId="77777777" w:rsidTr="00102BAE">
        <w:tc>
          <w:tcPr>
            <w:tcW w:w="2503" w:type="pct"/>
            <w:tcBorders>
              <w:top w:val="single" w:sz="4" w:space="0" w:color="000000"/>
              <w:left w:val="single" w:sz="4" w:space="0" w:color="000000"/>
              <w:bottom w:val="single" w:sz="4" w:space="0" w:color="000000"/>
              <w:right w:val="single" w:sz="4" w:space="0" w:color="000000"/>
            </w:tcBorders>
            <w:shd w:val="clear" w:color="auto" w:fill="FFFFFF"/>
          </w:tcPr>
          <w:p w14:paraId="52D23DCC" w14:textId="77777777" w:rsidR="00227CC3" w:rsidRPr="00227CC3" w:rsidRDefault="00227CC3" w:rsidP="00102BAE">
            <w:pPr>
              <w:rPr>
                <w:rFonts w:cs="Arial"/>
                <w:sz w:val="20"/>
              </w:rPr>
            </w:pPr>
            <w:r w:rsidRPr="00227CC3">
              <w:rPr>
                <w:rFonts w:cs="Arial"/>
                <w:sz w:val="20"/>
              </w:rPr>
              <w:t xml:space="preserve">1. </w:t>
            </w:r>
            <w:r w:rsidRPr="00227CC3">
              <w:rPr>
                <w:rFonts w:cs="Arial"/>
                <w:i/>
                <w:sz w:val="20"/>
              </w:rPr>
              <w:t>Clearly identifiable project boundary:</w:t>
            </w:r>
            <w:r w:rsidRPr="00227CC3">
              <w:rPr>
                <w:rFonts w:cs="Arial"/>
                <w:sz w:val="20"/>
              </w:rPr>
              <w:t xml:space="preserve"> </w:t>
            </w:r>
          </w:p>
          <w:p w14:paraId="669996E5" w14:textId="77777777" w:rsidR="00227CC3" w:rsidRPr="00227CC3" w:rsidRDefault="00227CC3" w:rsidP="00102BAE">
            <w:pPr>
              <w:rPr>
                <w:rFonts w:cs="Arial"/>
                <w:sz w:val="20"/>
              </w:rPr>
            </w:pPr>
            <w:r w:rsidRPr="00227CC3">
              <w:rPr>
                <w:rFonts w:cs="Arial"/>
                <w:sz w:val="20"/>
              </w:rPr>
              <w:t>The project boundary can be clearly identified, and the biodigesters counted in the project are not included in another voluntary market or CDM project activity (i.e. no double counting takes place). Project proponents must have a survey mechanism in place together with appropriate mitigation measures so as to prevent double-counting in case of another similar activity with some of the target area in common.</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Pr>
          <w:p w14:paraId="2D3EBC97" w14:textId="77777777" w:rsidR="00227CC3" w:rsidRPr="00227CC3" w:rsidRDefault="00227CC3" w:rsidP="00102BAE">
            <w:pPr>
              <w:rPr>
                <w:rFonts w:cs="Arial"/>
                <w:sz w:val="20"/>
              </w:rPr>
            </w:pPr>
            <w:r w:rsidRPr="00227CC3">
              <w:rPr>
                <w:rFonts w:cs="Arial"/>
                <w:sz w:val="20"/>
              </w:rPr>
              <w:t>The project boundary is the physical, geographical site of the methane recovery and combustion systems, located within Kenya.</w:t>
            </w:r>
          </w:p>
          <w:p w14:paraId="5AD5A7D3" w14:textId="77777777" w:rsidR="00227CC3" w:rsidRPr="00227CC3" w:rsidRDefault="00227CC3" w:rsidP="00102BAE">
            <w:pPr>
              <w:rPr>
                <w:rFonts w:cs="Arial"/>
                <w:sz w:val="20"/>
              </w:rPr>
            </w:pPr>
          </w:p>
          <w:p w14:paraId="5194219E" w14:textId="77777777" w:rsidR="00227CC3" w:rsidRPr="00227CC3" w:rsidRDefault="00227CC3" w:rsidP="00102BAE">
            <w:pPr>
              <w:rPr>
                <w:rFonts w:cs="Arial"/>
                <w:sz w:val="20"/>
              </w:rPr>
            </w:pPr>
            <w:r w:rsidRPr="00227CC3">
              <w:rPr>
                <w:rFonts w:cs="Arial"/>
                <w:sz w:val="20"/>
              </w:rPr>
              <w:t>The VPA shall demonstrate that it does not double-count any of its appliances, as specified in the eligibility criteria for inclusion in the PoA, for the ERs estimation by confirming that:</w:t>
            </w:r>
          </w:p>
          <w:p w14:paraId="3ADA8DAE" w14:textId="77777777" w:rsidR="003A25A6" w:rsidRDefault="003A25A6" w:rsidP="007A2D3E">
            <w:pPr>
              <w:numPr>
                <w:ilvl w:val="0"/>
                <w:numId w:val="57"/>
              </w:numPr>
              <w:rPr>
                <w:rFonts w:cs="Arial"/>
                <w:sz w:val="20"/>
              </w:rPr>
            </w:pPr>
            <w:r>
              <w:rPr>
                <w:rFonts w:cs="Arial"/>
                <w:sz w:val="20"/>
              </w:rPr>
              <w:t>The GPS coordinates of each digester installed are recorded</w:t>
            </w:r>
          </w:p>
          <w:p w14:paraId="6D7A1989" w14:textId="77777777" w:rsidR="00227CC3" w:rsidRPr="00227CC3" w:rsidRDefault="00227CC3" w:rsidP="007A2D3E">
            <w:pPr>
              <w:numPr>
                <w:ilvl w:val="0"/>
                <w:numId w:val="57"/>
              </w:numPr>
              <w:rPr>
                <w:rFonts w:cs="Arial"/>
                <w:sz w:val="20"/>
              </w:rPr>
            </w:pPr>
            <w:r w:rsidRPr="00227CC3">
              <w:rPr>
                <w:rFonts w:cs="Arial"/>
                <w:sz w:val="20"/>
              </w:rPr>
              <w:t>the complete address of each biogas system is recorded</w:t>
            </w:r>
          </w:p>
          <w:p w14:paraId="003287FF" w14:textId="77777777" w:rsidR="00227CC3" w:rsidRPr="00227CC3" w:rsidRDefault="00227CC3" w:rsidP="007A2D3E">
            <w:pPr>
              <w:numPr>
                <w:ilvl w:val="0"/>
                <w:numId w:val="57"/>
              </w:numPr>
              <w:rPr>
                <w:rFonts w:cs="Arial"/>
                <w:sz w:val="20"/>
              </w:rPr>
            </w:pPr>
            <w:r w:rsidRPr="00227CC3">
              <w:rPr>
                <w:rFonts w:cs="Arial"/>
                <w:sz w:val="20"/>
              </w:rPr>
              <w:t>the biogas systems have a unique serial number</w:t>
            </w:r>
            <w:r w:rsidR="003A25A6">
              <w:rPr>
                <w:rFonts w:cs="Arial"/>
                <w:sz w:val="20"/>
              </w:rPr>
              <w:t>, recorded in the project database</w:t>
            </w:r>
          </w:p>
          <w:p w14:paraId="2D97F26B" w14:textId="77777777" w:rsidR="00227CC3" w:rsidRPr="00227CC3" w:rsidRDefault="00227CC3" w:rsidP="007A2D3E">
            <w:pPr>
              <w:numPr>
                <w:ilvl w:val="0"/>
                <w:numId w:val="57"/>
              </w:numPr>
              <w:rPr>
                <w:rFonts w:cs="Arial"/>
                <w:sz w:val="20"/>
              </w:rPr>
            </w:pPr>
            <w:r w:rsidRPr="00227CC3">
              <w:rPr>
                <w:rFonts w:cs="Arial"/>
                <w:sz w:val="20"/>
              </w:rPr>
              <w:t>the VPA implementer has not included these biogas systems in another VPA or stand-alone project.</w:t>
            </w:r>
          </w:p>
          <w:p w14:paraId="393BAFDD" w14:textId="77777777" w:rsidR="00227CC3" w:rsidRPr="00227CC3" w:rsidRDefault="00227CC3" w:rsidP="00102BAE">
            <w:pPr>
              <w:rPr>
                <w:rFonts w:cs="Arial"/>
                <w:sz w:val="20"/>
              </w:rPr>
            </w:pPr>
          </w:p>
        </w:tc>
      </w:tr>
      <w:tr w:rsidR="00227CC3" w:rsidRPr="006505E8" w14:paraId="3499095E" w14:textId="77777777" w:rsidTr="00102BAE">
        <w:tc>
          <w:tcPr>
            <w:tcW w:w="2503" w:type="pct"/>
            <w:tcBorders>
              <w:top w:val="single" w:sz="4" w:space="0" w:color="000000"/>
              <w:left w:val="single" w:sz="4" w:space="0" w:color="000000"/>
              <w:bottom w:val="single" w:sz="4" w:space="0" w:color="000000"/>
              <w:right w:val="single" w:sz="4" w:space="0" w:color="000000"/>
            </w:tcBorders>
            <w:shd w:val="clear" w:color="auto" w:fill="FFFFFF"/>
          </w:tcPr>
          <w:p w14:paraId="5FF74D09" w14:textId="77777777" w:rsidR="00227CC3" w:rsidRPr="00227CC3" w:rsidRDefault="00227CC3" w:rsidP="00102BAE">
            <w:pPr>
              <w:rPr>
                <w:rFonts w:cs="Arial"/>
                <w:sz w:val="20"/>
              </w:rPr>
            </w:pPr>
            <w:r w:rsidRPr="00227CC3">
              <w:rPr>
                <w:rFonts w:cs="Arial"/>
                <w:sz w:val="20"/>
              </w:rPr>
              <w:t xml:space="preserve">2. </w:t>
            </w:r>
            <w:r w:rsidRPr="00227CC3">
              <w:rPr>
                <w:rFonts w:cs="Arial"/>
                <w:i/>
                <w:sz w:val="20"/>
              </w:rPr>
              <w:t>Limited level of energy output per biodigester:</w:t>
            </w:r>
            <w:r w:rsidRPr="00227CC3">
              <w:rPr>
                <w:rFonts w:cs="Arial"/>
                <w:sz w:val="20"/>
              </w:rPr>
              <w:t xml:space="preserve"> </w:t>
            </w:r>
          </w:p>
          <w:p w14:paraId="2D533819" w14:textId="77777777" w:rsidR="00227CC3" w:rsidRPr="00227CC3" w:rsidRDefault="00227CC3" w:rsidP="00102BAE">
            <w:pPr>
              <w:rPr>
                <w:rFonts w:cs="Arial"/>
                <w:sz w:val="20"/>
              </w:rPr>
            </w:pPr>
            <w:r w:rsidRPr="00227CC3">
              <w:rPr>
                <w:rFonts w:cs="Arial"/>
                <w:sz w:val="20"/>
              </w:rPr>
              <w:t xml:space="preserve">The biodigesters each have continuous useful energy outputs of less than 450 kWth per unit (defined as total energy delivered usefully from start to end of operation of a unit divided by time of operation). </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Pr>
          <w:p w14:paraId="6C9BEB26" w14:textId="77777777" w:rsidR="00227CC3" w:rsidRPr="00227CC3" w:rsidRDefault="00227CC3" w:rsidP="00102BAE">
            <w:pPr>
              <w:rPr>
                <w:rFonts w:cs="Arial"/>
                <w:sz w:val="20"/>
              </w:rPr>
            </w:pPr>
            <w:r w:rsidRPr="00227CC3">
              <w:rPr>
                <w:rFonts w:cs="Arial"/>
                <w:sz w:val="20"/>
              </w:rPr>
              <w:t>The maximum energy output of the biodigesters implemented in the project activities is 43,80 kWth</w:t>
            </w:r>
            <w:r w:rsidRPr="00227CC3">
              <w:rPr>
                <w:rFonts w:cs="Arial"/>
                <w:sz w:val="20"/>
                <w:vertAlign w:val="superscript"/>
              </w:rPr>
              <w:footnoteReference w:id="15"/>
            </w:r>
            <w:r w:rsidRPr="00227CC3">
              <w:rPr>
                <w:rFonts w:cs="Arial"/>
                <w:sz w:val="20"/>
              </w:rPr>
              <w:t>, below the indicated 450 kWth limit per unit.</w:t>
            </w:r>
          </w:p>
        </w:tc>
      </w:tr>
      <w:tr w:rsidR="00227CC3" w:rsidRPr="006505E8" w14:paraId="57997FF8" w14:textId="77777777" w:rsidTr="00102BAE">
        <w:tc>
          <w:tcPr>
            <w:tcW w:w="2503" w:type="pct"/>
            <w:tcBorders>
              <w:top w:val="single" w:sz="4" w:space="0" w:color="000000"/>
              <w:left w:val="single" w:sz="4" w:space="0" w:color="000000"/>
              <w:bottom w:val="single" w:sz="4" w:space="0" w:color="000000"/>
              <w:right w:val="single" w:sz="4" w:space="0" w:color="000000"/>
            </w:tcBorders>
            <w:shd w:val="clear" w:color="auto" w:fill="FFFFFF"/>
          </w:tcPr>
          <w:p w14:paraId="6E0918A9" w14:textId="77777777" w:rsidR="00227CC3" w:rsidRPr="00227CC3" w:rsidRDefault="00227CC3" w:rsidP="00102BAE">
            <w:pPr>
              <w:rPr>
                <w:rFonts w:cs="Arial"/>
                <w:sz w:val="20"/>
              </w:rPr>
            </w:pPr>
            <w:r w:rsidRPr="00227CC3">
              <w:rPr>
                <w:rFonts w:cs="Arial"/>
                <w:sz w:val="20"/>
              </w:rPr>
              <w:t xml:space="preserve">3. </w:t>
            </w:r>
            <w:r w:rsidRPr="00227CC3">
              <w:rPr>
                <w:rFonts w:cs="Arial"/>
                <w:i/>
                <w:sz w:val="20"/>
              </w:rPr>
              <w:t>Continued use of baseline technology:</w:t>
            </w:r>
            <w:r w:rsidRPr="00227CC3">
              <w:rPr>
                <w:rFonts w:cs="Arial"/>
                <w:sz w:val="20"/>
              </w:rPr>
              <w:t xml:space="preserve"> </w:t>
            </w:r>
          </w:p>
          <w:p w14:paraId="6E041077" w14:textId="77777777" w:rsidR="00227CC3" w:rsidRPr="00227CC3" w:rsidRDefault="00227CC3" w:rsidP="00102BAE">
            <w:pPr>
              <w:rPr>
                <w:rFonts w:cs="Arial"/>
                <w:sz w:val="20"/>
              </w:rPr>
            </w:pPr>
            <w:r w:rsidRPr="00227CC3">
              <w:rPr>
                <w:rFonts w:cs="Arial"/>
                <w:sz w:val="20"/>
              </w:rPr>
              <w:t xml:space="preserve">The use of the baseline cook stoves as a backup in parallel with the new, biogas fuelled cook stoves introduced by the project activity is permitted as long as a mechanism is put into place to encourage the removal of the old technology and the definitive discontinuity of its use. The project documentation must provide a clear description of the approach chosen and the monitoring plan must allow for a good understanding of the extent to which the baseline cook stove is still in use after the introduction of the improved technology. The success of the mechanism put into place must therefore be monitored, and the approach must be adjusted if proven unsuccessful. </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Pr>
          <w:p w14:paraId="2CF895D9" w14:textId="77777777" w:rsidR="00227CC3" w:rsidRPr="00227CC3" w:rsidRDefault="00227CC3" w:rsidP="00102BAE">
            <w:pPr>
              <w:rPr>
                <w:rFonts w:cs="Arial"/>
                <w:sz w:val="20"/>
              </w:rPr>
            </w:pPr>
            <w:r w:rsidRPr="00227CC3">
              <w:rPr>
                <w:rFonts w:cs="Arial"/>
                <w:sz w:val="20"/>
              </w:rPr>
              <w:t>Monitoring will include an assessment of the continued use of the baseline stove through survey methods and biennial Kitchen Performance Tests. All biogas digester users will be asked to provide feedback on the extent to which they continue to use their baseline cook</w:t>
            </w:r>
            <w:r w:rsidR="00F27CE7">
              <w:rPr>
                <w:rFonts w:cs="Arial"/>
                <w:sz w:val="20"/>
              </w:rPr>
              <w:t xml:space="preserve"> </w:t>
            </w:r>
            <w:r w:rsidRPr="00227CC3">
              <w:rPr>
                <w:rFonts w:cs="Arial"/>
                <w:sz w:val="20"/>
              </w:rPr>
              <w:t xml:space="preserve">stoves. </w:t>
            </w:r>
          </w:p>
        </w:tc>
      </w:tr>
      <w:tr w:rsidR="00227CC3" w:rsidRPr="006505E8" w14:paraId="6D071B98" w14:textId="77777777" w:rsidTr="00102BAE">
        <w:tc>
          <w:tcPr>
            <w:tcW w:w="2503" w:type="pct"/>
            <w:tcBorders>
              <w:top w:val="single" w:sz="4" w:space="0" w:color="000000"/>
              <w:left w:val="single" w:sz="4" w:space="0" w:color="000000"/>
              <w:bottom w:val="single" w:sz="4" w:space="0" w:color="000000"/>
              <w:right w:val="single" w:sz="4" w:space="0" w:color="000000"/>
            </w:tcBorders>
            <w:shd w:val="clear" w:color="auto" w:fill="FFFFFF"/>
          </w:tcPr>
          <w:p w14:paraId="36CF3AA4" w14:textId="77777777" w:rsidR="00227CC3" w:rsidRPr="00227CC3" w:rsidRDefault="00227CC3" w:rsidP="00102BAE">
            <w:pPr>
              <w:rPr>
                <w:rFonts w:cs="Arial"/>
                <w:sz w:val="20"/>
              </w:rPr>
            </w:pPr>
            <w:r w:rsidRPr="00227CC3">
              <w:rPr>
                <w:rFonts w:cs="Arial"/>
                <w:sz w:val="20"/>
              </w:rPr>
              <w:t xml:space="preserve">4. </w:t>
            </w:r>
            <w:r w:rsidRPr="00227CC3">
              <w:rPr>
                <w:rFonts w:cs="Arial"/>
                <w:i/>
                <w:sz w:val="20"/>
              </w:rPr>
              <w:t>Settling of ownership rights over generated emission reductions:</w:t>
            </w:r>
            <w:r w:rsidRPr="00227CC3">
              <w:rPr>
                <w:rFonts w:cs="Arial"/>
                <w:sz w:val="20"/>
              </w:rPr>
              <w:t xml:space="preserve"> </w:t>
            </w:r>
          </w:p>
          <w:p w14:paraId="47096E7C" w14:textId="77777777" w:rsidR="00227CC3" w:rsidRPr="00227CC3" w:rsidRDefault="00227CC3" w:rsidP="00102BAE">
            <w:pPr>
              <w:rPr>
                <w:rFonts w:cs="Arial"/>
                <w:sz w:val="20"/>
              </w:rPr>
            </w:pPr>
            <w:r w:rsidRPr="00227CC3">
              <w:rPr>
                <w:rFonts w:cs="Arial"/>
                <w:sz w:val="20"/>
              </w:rPr>
              <w:t xml:space="preserve">The project proponent must clearly communicate to all project participants to whom the ownership rights of the emission reductions resulting from the project activity belong. This must be communicated to the technology producers and the retailers of the by contract or clear written assertions in the transaction paperwork. </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Pr>
          <w:p w14:paraId="4FE05AC5" w14:textId="41F8B435" w:rsidR="00227CC3" w:rsidRPr="00227CC3" w:rsidRDefault="00227CC3" w:rsidP="00102BAE">
            <w:pPr>
              <w:rPr>
                <w:rFonts w:cs="Arial"/>
                <w:sz w:val="20"/>
              </w:rPr>
            </w:pPr>
            <w:r w:rsidRPr="00227CC3">
              <w:rPr>
                <w:rFonts w:cs="Arial"/>
                <w:sz w:val="20"/>
              </w:rPr>
              <w:t>As set out in the operational and management plan explained in Section C of the PoA-DD, each end user of a biodigester will be asked to confirm that they transfer the right and title to VERs to the VPA Implementer as part of the</w:t>
            </w:r>
            <w:r w:rsidR="00163173">
              <w:rPr>
                <w:rFonts w:cs="Arial"/>
                <w:sz w:val="20"/>
              </w:rPr>
              <w:t xml:space="preserve"> Ownership Certificates</w:t>
            </w:r>
            <w:r w:rsidR="00DA2181">
              <w:rPr>
                <w:rFonts w:cs="Arial"/>
                <w:sz w:val="20"/>
              </w:rPr>
              <w:t xml:space="preserve">. </w:t>
            </w:r>
            <w:r w:rsidRPr="00227CC3">
              <w:rPr>
                <w:rFonts w:cs="Arial"/>
                <w:sz w:val="20"/>
              </w:rPr>
              <w:t xml:space="preserve">Copies of these signed contracts will be kept by the VPA Implementer. </w:t>
            </w:r>
          </w:p>
        </w:tc>
      </w:tr>
      <w:tr w:rsidR="00227CC3" w:rsidRPr="006505E8" w14:paraId="7E199A91" w14:textId="77777777" w:rsidTr="00102BAE">
        <w:tc>
          <w:tcPr>
            <w:tcW w:w="2503" w:type="pct"/>
            <w:tcBorders>
              <w:top w:val="single" w:sz="4" w:space="0" w:color="000000"/>
              <w:left w:val="single" w:sz="4" w:space="0" w:color="000000"/>
              <w:bottom w:val="single" w:sz="4" w:space="0" w:color="000000"/>
              <w:right w:val="single" w:sz="4" w:space="0" w:color="000000"/>
            </w:tcBorders>
            <w:shd w:val="clear" w:color="auto" w:fill="FFFFFF"/>
          </w:tcPr>
          <w:p w14:paraId="44BA82DD" w14:textId="77777777" w:rsidR="00227CC3" w:rsidRPr="00227CC3" w:rsidRDefault="00227CC3" w:rsidP="00102BAE">
            <w:pPr>
              <w:rPr>
                <w:rFonts w:cs="Arial"/>
                <w:sz w:val="20"/>
              </w:rPr>
            </w:pPr>
            <w:r w:rsidRPr="00227CC3">
              <w:rPr>
                <w:rFonts w:cs="Arial"/>
                <w:sz w:val="20"/>
              </w:rPr>
              <w:t xml:space="preserve">5. </w:t>
            </w:r>
            <w:r w:rsidRPr="00227CC3">
              <w:rPr>
                <w:rFonts w:cs="Arial"/>
                <w:i/>
                <w:sz w:val="20"/>
              </w:rPr>
              <w:t>Use of new biomass feedstock</w:t>
            </w:r>
          </w:p>
          <w:p w14:paraId="423B40CF" w14:textId="77777777" w:rsidR="00227CC3" w:rsidRPr="00227CC3" w:rsidRDefault="00227CC3" w:rsidP="00102BAE">
            <w:pPr>
              <w:rPr>
                <w:rFonts w:cs="Arial"/>
                <w:sz w:val="20"/>
              </w:rPr>
            </w:pPr>
            <w:r w:rsidRPr="00227CC3">
              <w:rPr>
                <w:rFonts w:cs="Arial"/>
                <w:sz w:val="20"/>
              </w:rPr>
              <w:t>Project activities making use of a new biomass feedstock in the project situation (e.g. shift from non-renewable to green charcoal, plant oil or renewable biomass briquettes) must comply with relevant Gold Standard specific requirements for biomass related project activities, as defined in the latest version of the Gold Standard rules.</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Pr>
          <w:p w14:paraId="76322DF2" w14:textId="77777777" w:rsidR="00227CC3" w:rsidRPr="00227CC3" w:rsidRDefault="00227CC3" w:rsidP="00102BAE">
            <w:pPr>
              <w:rPr>
                <w:rFonts w:cs="Arial"/>
                <w:sz w:val="20"/>
              </w:rPr>
            </w:pPr>
            <w:r w:rsidRPr="00227CC3">
              <w:rPr>
                <w:rFonts w:cs="Arial"/>
                <w:sz w:val="20"/>
              </w:rPr>
              <w:t>This applicability criterion is not applicable as no new biomass feedstock is used in the project scenario.</w:t>
            </w:r>
          </w:p>
        </w:tc>
      </w:tr>
      <w:tr w:rsidR="00227CC3" w:rsidRPr="006505E8" w14:paraId="746AC5BC" w14:textId="77777777" w:rsidTr="00102BAE">
        <w:tc>
          <w:tcPr>
            <w:tcW w:w="2503" w:type="pct"/>
            <w:tcBorders>
              <w:top w:val="single" w:sz="4" w:space="0" w:color="000000"/>
              <w:left w:val="single" w:sz="4" w:space="0" w:color="000000"/>
              <w:bottom w:val="single" w:sz="4" w:space="0" w:color="000000"/>
              <w:right w:val="single" w:sz="4" w:space="0" w:color="000000"/>
            </w:tcBorders>
            <w:shd w:val="clear" w:color="auto" w:fill="FFFFFF"/>
          </w:tcPr>
          <w:p w14:paraId="374B9E0B" w14:textId="77777777" w:rsidR="00227CC3" w:rsidRPr="00227CC3" w:rsidRDefault="00227CC3" w:rsidP="00102BAE">
            <w:pPr>
              <w:rPr>
                <w:rFonts w:cs="Arial"/>
                <w:i/>
                <w:sz w:val="20"/>
              </w:rPr>
            </w:pPr>
            <w:r w:rsidRPr="00227CC3">
              <w:rPr>
                <w:rFonts w:cs="Arial"/>
                <w:i/>
                <w:sz w:val="20"/>
              </w:rPr>
              <w:lastRenderedPageBreak/>
              <w:t>6. Climate zones</w:t>
            </w:r>
          </w:p>
          <w:p w14:paraId="6AFADF17" w14:textId="77777777" w:rsidR="00227CC3" w:rsidRPr="00227CC3" w:rsidRDefault="00227CC3" w:rsidP="00102BAE">
            <w:pPr>
              <w:rPr>
                <w:rFonts w:cs="Arial"/>
                <w:sz w:val="20"/>
              </w:rPr>
            </w:pPr>
            <w:r w:rsidRPr="00227CC3">
              <w:rPr>
                <w:rFonts w:cs="Arial"/>
                <w:sz w:val="20"/>
              </w:rPr>
              <w:t>If more than one climate zone is included in the project activity, a distinction per climate zone must be considered. The distinct geographical boundary of each project area must be clearly documented in the project documentation, using representative GPS data.</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Pr>
          <w:p w14:paraId="354D600E" w14:textId="77777777" w:rsidR="00227CC3" w:rsidRPr="00227CC3" w:rsidRDefault="00227CC3" w:rsidP="00102BAE">
            <w:pPr>
              <w:rPr>
                <w:rFonts w:cs="Arial"/>
                <w:sz w:val="20"/>
              </w:rPr>
            </w:pPr>
            <w:r w:rsidRPr="00227CC3">
              <w:rPr>
                <w:rFonts w:cs="Arial"/>
                <w:sz w:val="20"/>
              </w:rPr>
              <w:t>The distinct geographical boundary of this VPA is the Republic of Kenya.  The GPS co-ordinates of Kenya are represented approximately by: 1 00 N, 38 00 E</w:t>
            </w:r>
          </w:p>
        </w:tc>
      </w:tr>
    </w:tbl>
    <w:p w14:paraId="3F30B688" w14:textId="77777777" w:rsidR="00227CC3" w:rsidRPr="00AF0950" w:rsidRDefault="00227CC3" w:rsidP="00227CC3">
      <w:pPr>
        <w:rPr>
          <w:rFonts w:cs="Arial"/>
          <w:i/>
          <w:iCs/>
          <w:sz w:val="20"/>
        </w:rPr>
      </w:pPr>
    </w:p>
    <w:p w14:paraId="4AD75559" w14:textId="77777777" w:rsidR="00270762" w:rsidRDefault="00787B8F" w:rsidP="001E0142">
      <w:pPr>
        <w:pStyle w:val="SDMPDDPoASubSection1"/>
        <w:numPr>
          <w:ilvl w:val="1"/>
          <w:numId w:val="30"/>
        </w:numPr>
      </w:pPr>
      <w:bookmarkStart w:id="11" w:name="_Ref484109613"/>
      <w:r>
        <w:t>Project boundary, s</w:t>
      </w:r>
      <w:r w:rsidR="000978C2" w:rsidRPr="000C7CA3">
        <w:t xml:space="preserve">ources and </w:t>
      </w:r>
      <w:r w:rsidR="00DD4252">
        <w:t>greenhouse gases</w:t>
      </w:r>
      <w:r w:rsidR="00F71E72">
        <w:t xml:space="preserve"> (GHGs)</w:t>
      </w:r>
      <w:bookmarkEnd w:id="11"/>
    </w:p>
    <w:p w14:paraId="41F21E49" w14:textId="77777777" w:rsidR="00270762" w:rsidRDefault="00270762" w:rsidP="0089085E">
      <w:pPr>
        <w:pStyle w:val="SDMPDDPoASubSection1"/>
        <w:keepNext w:val="0"/>
        <w:keepLines w:val="0"/>
        <w:spacing w:before="0" w:after="0"/>
        <w:rPr>
          <w:b w:val="0"/>
        </w:rPr>
      </w:pPr>
      <w:r w:rsidRPr="00513AB9">
        <w:rPr>
          <w:b w:val="0"/>
        </w:rPr>
        <w:t>&gt;&gt;</w:t>
      </w:r>
    </w:p>
    <w:p w14:paraId="0080A007" w14:textId="77777777" w:rsidR="00067D45" w:rsidRDefault="00067D45" w:rsidP="00067D45">
      <w:pPr>
        <w:rPr>
          <w:rFonts w:cs="Arial"/>
        </w:rPr>
      </w:pPr>
      <w:r w:rsidRPr="003D4C85">
        <w:rPr>
          <w:rFonts w:cs="Arial"/>
        </w:rPr>
        <w:t>The gases</w:t>
      </w:r>
      <w:r>
        <w:rPr>
          <w:rFonts w:cs="Arial"/>
        </w:rPr>
        <w:t xml:space="preserve"> included are</w:t>
      </w:r>
      <w:r w:rsidRPr="003D4C85">
        <w:rPr>
          <w:rFonts w:cs="Arial"/>
        </w:rPr>
        <w:t xml:space="preserve"> carbon dioxide and methane in the VPA-boundary that is the physical, geographical site of the biogas system.</w:t>
      </w:r>
    </w:p>
    <w:p w14:paraId="6187E749" w14:textId="77777777" w:rsidR="00064CEE" w:rsidRPr="003D4C85" w:rsidRDefault="00064CEE" w:rsidP="00067D45">
      <w:pPr>
        <w:rPr>
          <w:rFonts w:cs="Arial"/>
        </w:rPr>
      </w:pPr>
    </w:p>
    <w:p w14:paraId="35C0C4F2" w14:textId="77777777" w:rsidR="00067D45" w:rsidRPr="00064CEE" w:rsidRDefault="00B53A36" w:rsidP="00CB783F">
      <w:pPr>
        <w:pStyle w:val="Caption"/>
        <w:ind w:hanging="1956"/>
        <w:rPr>
          <w:rFonts w:cs="Arial"/>
          <w:i/>
        </w:rPr>
      </w:pPr>
      <w:r>
        <w:t xml:space="preserve">Table </w:t>
      </w:r>
      <w:r w:rsidR="00386F9E">
        <w:fldChar w:fldCharType="begin"/>
      </w:r>
      <w:r>
        <w:instrText xml:space="preserve"> SEQ Table \* ARABIC </w:instrText>
      </w:r>
      <w:r w:rsidR="00386F9E">
        <w:fldChar w:fldCharType="separate"/>
      </w:r>
      <w:r w:rsidR="00FE38F8">
        <w:rPr>
          <w:noProof/>
        </w:rPr>
        <w:t>3</w:t>
      </w:r>
      <w:r w:rsidR="00386F9E">
        <w:fldChar w:fldCharType="end"/>
      </w:r>
      <w:r>
        <w:t xml:space="preserve"> </w:t>
      </w:r>
      <w:r w:rsidR="00064CEE" w:rsidRPr="00CB783F">
        <w:rPr>
          <w:rFonts w:cs="Arial"/>
          <w:b w:val="0"/>
          <w:i/>
        </w:rPr>
        <w:t>Inclusion of gases in the project boundary</w:t>
      </w:r>
      <w:r w:rsidR="00064CEE" w:rsidRPr="00064CEE">
        <w:rPr>
          <w:rFonts w:cs="Arial"/>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1134"/>
        <w:gridCol w:w="1161"/>
        <w:gridCol w:w="4618"/>
      </w:tblGrid>
      <w:tr w:rsidR="00067D45" w:rsidRPr="003D4C85" w14:paraId="0FB27F2D" w14:textId="77777777" w:rsidTr="00DB62CD">
        <w:tc>
          <w:tcPr>
            <w:tcW w:w="2660" w:type="dxa"/>
            <w:gridSpan w:val="2"/>
            <w:shd w:val="clear" w:color="auto" w:fill="D9D9D9"/>
            <w:vAlign w:val="center"/>
          </w:tcPr>
          <w:p w14:paraId="3F504CA9" w14:textId="77777777" w:rsidR="00067D45" w:rsidRPr="00067D45" w:rsidRDefault="00067D45" w:rsidP="00DB62CD">
            <w:pPr>
              <w:rPr>
                <w:rFonts w:cs="Arial"/>
                <w:b/>
                <w:sz w:val="20"/>
              </w:rPr>
            </w:pPr>
            <w:r w:rsidRPr="00067D45">
              <w:rPr>
                <w:rFonts w:cs="Arial"/>
                <w:b/>
                <w:sz w:val="20"/>
              </w:rPr>
              <w:t>Source</w:t>
            </w:r>
          </w:p>
        </w:tc>
        <w:tc>
          <w:tcPr>
            <w:tcW w:w="1134" w:type="dxa"/>
            <w:shd w:val="clear" w:color="auto" w:fill="D9D9D9"/>
            <w:vAlign w:val="center"/>
          </w:tcPr>
          <w:p w14:paraId="0699B395" w14:textId="77777777" w:rsidR="00067D45" w:rsidRPr="00067D45" w:rsidRDefault="00067D45" w:rsidP="00DB62CD">
            <w:pPr>
              <w:rPr>
                <w:rFonts w:cs="Arial"/>
                <w:b/>
                <w:sz w:val="20"/>
              </w:rPr>
            </w:pPr>
            <w:r w:rsidRPr="00067D45">
              <w:rPr>
                <w:rFonts w:cs="Arial"/>
                <w:b/>
                <w:sz w:val="20"/>
              </w:rPr>
              <w:t>Gas</w:t>
            </w:r>
          </w:p>
        </w:tc>
        <w:tc>
          <w:tcPr>
            <w:tcW w:w="1158" w:type="dxa"/>
            <w:shd w:val="clear" w:color="auto" w:fill="D9D9D9"/>
            <w:vAlign w:val="center"/>
          </w:tcPr>
          <w:p w14:paraId="518B19D8" w14:textId="77777777" w:rsidR="00067D45" w:rsidRPr="00067D45" w:rsidRDefault="00067D45" w:rsidP="00DB62CD">
            <w:pPr>
              <w:rPr>
                <w:rFonts w:cs="Arial"/>
                <w:b/>
                <w:sz w:val="20"/>
              </w:rPr>
            </w:pPr>
            <w:r w:rsidRPr="00067D45">
              <w:rPr>
                <w:rFonts w:cs="Arial"/>
                <w:b/>
                <w:sz w:val="20"/>
              </w:rPr>
              <w:t>Included?</w:t>
            </w:r>
          </w:p>
        </w:tc>
        <w:tc>
          <w:tcPr>
            <w:tcW w:w="4618" w:type="dxa"/>
            <w:shd w:val="clear" w:color="auto" w:fill="D9D9D9"/>
            <w:vAlign w:val="center"/>
          </w:tcPr>
          <w:p w14:paraId="606B4E94" w14:textId="77777777" w:rsidR="00067D45" w:rsidRPr="00067D45" w:rsidRDefault="00067D45" w:rsidP="00DB62CD">
            <w:pPr>
              <w:rPr>
                <w:rFonts w:cs="Arial"/>
                <w:b/>
                <w:sz w:val="20"/>
              </w:rPr>
            </w:pPr>
            <w:r w:rsidRPr="00067D45">
              <w:rPr>
                <w:rFonts w:cs="Arial"/>
                <w:b/>
                <w:sz w:val="20"/>
              </w:rPr>
              <w:t>Justification / Explanation</w:t>
            </w:r>
          </w:p>
        </w:tc>
      </w:tr>
      <w:tr w:rsidR="00067D45" w:rsidRPr="003D4C85" w14:paraId="3D58E658" w14:textId="77777777" w:rsidTr="00DB62CD">
        <w:trPr>
          <w:trHeight w:val="474"/>
        </w:trPr>
        <w:tc>
          <w:tcPr>
            <w:tcW w:w="959" w:type="dxa"/>
            <w:vMerge w:val="restart"/>
            <w:shd w:val="clear" w:color="auto" w:fill="auto"/>
            <w:textDirection w:val="btLr"/>
            <w:vAlign w:val="center"/>
          </w:tcPr>
          <w:p w14:paraId="4DC59B0B" w14:textId="77777777" w:rsidR="00067D45" w:rsidRPr="00067D45" w:rsidRDefault="00067D45" w:rsidP="00067D45">
            <w:pPr>
              <w:jc w:val="center"/>
              <w:rPr>
                <w:rFonts w:cs="Arial"/>
                <w:sz w:val="20"/>
              </w:rPr>
            </w:pPr>
            <w:r w:rsidRPr="00067D45">
              <w:rPr>
                <w:rFonts w:cs="Arial"/>
                <w:sz w:val="20"/>
              </w:rPr>
              <w:t>Baseline</w:t>
            </w:r>
          </w:p>
        </w:tc>
        <w:tc>
          <w:tcPr>
            <w:tcW w:w="1701" w:type="dxa"/>
            <w:vMerge w:val="restart"/>
            <w:shd w:val="clear" w:color="auto" w:fill="auto"/>
            <w:vAlign w:val="center"/>
          </w:tcPr>
          <w:p w14:paraId="30D9C997" w14:textId="77777777" w:rsidR="00067D45" w:rsidRPr="00067D45" w:rsidRDefault="00067D45" w:rsidP="00DB62CD">
            <w:pPr>
              <w:rPr>
                <w:rFonts w:cs="Arial"/>
                <w:sz w:val="20"/>
              </w:rPr>
            </w:pPr>
            <w:r w:rsidRPr="00067D45">
              <w:rPr>
                <w:rFonts w:cs="Arial"/>
                <w:sz w:val="20"/>
              </w:rPr>
              <w:t>Heat delivery</w:t>
            </w:r>
          </w:p>
          <w:p w14:paraId="2E178278" w14:textId="77777777" w:rsidR="00067D45" w:rsidRPr="00067D45" w:rsidRDefault="00067D45" w:rsidP="00DB62CD">
            <w:pPr>
              <w:rPr>
                <w:rFonts w:cs="Arial"/>
                <w:sz w:val="20"/>
              </w:rPr>
            </w:pPr>
            <w:r w:rsidRPr="00067D45">
              <w:rPr>
                <w:rFonts w:cs="Arial"/>
                <w:sz w:val="20"/>
              </w:rPr>
              <w:t>Treatment of manure</w:t>
            </w:r>
          </w:p>
        </w:tc>
        <w:tc>
          <w:tcPr>
            <w:tcW w:w="1134" w:type="dxa"/>
            <w:shd w:val="clear" w:color="auto" w:fill="auto"/>
            <w:vAlign w:val="center"/>
          </w:tcPr>
          <w:p w14:paraId="56F4FC8D" w14:textId="77777777" w:rsidR="00067D45" w:rsidRPr="00067D45" w:rsidRDefault="00067D45" w:rsidP="00DB62CD">
            <w:pPr>
              <w:rPr>
                <w:rFonts w:cs="Arial"/>
                <w:sz w:val="20"/>
                <w:vertAlign w:val="subscript"/>
              </w:rPr>
            </w:pPr>
            <w:r w:rsidRPr="00067D45">
              <w:rPr>
                <w:rFonts w:cs="Arial"/>
                <w:sz w:val="20"/>
              </w:rPr>
              <w:t>CO</w:t>
            </w:r>
            <w:r w:rsidRPr="00067D45">
              <w:rPr>
                <w:rFonts w:cs="Arial"/>
                <w:sz w:val="20"/>
                <w:vertAlign w:val="subscript"/>
              </w:rPr>
              <w:t>2</w:t>
            </w:r>
          </w:p>
        </w:tc>
        <w:tc>
          <w:tcPr>
            <w:tcW w:w="1158" w:type="dxa"/>
            <w:shd w:val="clear" w:color="auto" w:fill="auto"/>
            <w:vAlign w:val="center"/>
          </w:tcPr>
          <w:p w14:paraId="0F898797" w14:textId="77777777" w:rsidR="00067D45" w:rsidRPr="00067D45" w:rsidRDefault="00067D45" w:rsidP="00DB62CD">
            <w:pPr>
              <w:rPr>
                <w:rFonts w:cs="Arial"/>
                <w:sz w:val="20"/>
              </w:rPr>
            </w:pPr>
            <w:r w:rsidRPr="00067D45">
              <w:rPr>
                <w:rFonts w:cs="Arial"/>
                <w:sz w:val="20"/>
              </w:rPr>
              <w:t>Yes</w:t>
            </w:r>
          </w:p>
        </w:tc>
        <w:tc>
          <w:tcPr>
            <w:tcW w:w="4618" w:type="dxa"/>
            <w:shd w:val="clear" w:color="auto" w:fill="auto"/>
            <w:vAlign w:val="center"/>
          </w:tcPr>
          <w:p w14:paraId="2A236195" w14:textId="77777777" w:rsidR="00067D45" w:rsidRPr="00067D45" w:rsidRDefault="00067D45" w:rsidP="00DB62CD">
            <w:pPr>
              <w:rPr>
                <w:rFonts w:cs="Arial"/>
                <w:sz w:val="20"/>
              </w:rPr>
            </w:pPr>
            <w:r w:rsidRPr="00067D45">
              <w:rPr>
                <w:rFonts w:cs="Arial"/>
                <w:sz w:val="20"/>
              </w:rPr>
              <w:t>CO</w:t>
            </w:r>
            <w:r w:rsidRPr="00067D45">
              <w:rPr>
                <w:rFonts w:cs="Arial"/>
                <w:sz w:val="20"/>
                <w:vertAlign w:val="subscript"/>
              </w:rPr>
              <w:t>2</w:t>
            </w:r>
            <w:r w:rsidRPr="00067D45">
              <w:rPr>
                <w:rFonts w:cs="Arial"/>
                <w:sz w:val="20"/>
              </w:rPr>
              <w:t xml:space="preserve"> emissions from</w:t>
            </w:r>
          </w:p>
          <w:p w14:paraId="2A634DAC" w14:textId="77777777" w:rsidR="00067D45" w:rsidRPr="00067D45" w:rsidRDefault="00067D45" w:rsidP="001E0142">
            <w:pPr>
              <w:numPr>
                <w:ilvl w:val="0"/>
                <w:numId w:val="36"/>
              </w:numPr>
              <w:ind w:left="436"/>
              <w:rPr>
                <w:rFonts w:cs="Arial"/>
                <w:sz w:val="20"/>
              </w:rPr>
            </w:pPr>
            <w:r w:rsidRPr="00067D45">
              <w:rPr>
                <w:rFonts w:cs="Arial"/>
                <w:sz w:val="20"/>
              </w:rPr>
              <w:t xml:space="preserve">fossil fuel cook stoves </w:t>
            </w:r>
          </w:p>
          <w:p w14:paraId="3EA79055" w14:textId="77777777" w:rsidR="00067D45" w:rsidRPr="00067D45" w:rsidRDefault="00067D45" w:rsidP="001E0142">
            <w:pPr>
              <w:numPr>
                <w:ilvl w:val="0"/>
                <w:numId w:val="36"/>
              </w:numPr>
              <w:ind w:left="436"/>
              <w:rPr>
                <w:rFonts w:cs="Arial"/>
                <w:sz w:val="20"/>
              </w:rPr>
            </w:pPr>
            <w:r w:rsidRPr="00067D45">
              <w:rPr>
                <w:rFonts w:cs="Arial"/>
                <w:sz w:val="20"/>
              </w:rPr>
              <w:t>cook stoves using non-renewable biomass</w:t>
            </w:r>
          </w:p>
        </w:tc>
      </w:tr>
      <w:tr w:rsidR="00067D45" w:rsidRPr="003D4C85" w14:paraId="7B274F70" w14:textId="77777777" w:rsidTr="00DB62CD">
        <w:trPr>
          <w:trHeight w:val="474"/>
        </w:trPr>
        <w:tc>
          <w:tcPr>
            <w:tcW w:w="959" w:type="dxa"/>
            <w:vMerge/>
            <w:shd w:val="clear" w:color="auto" w:fill="auto"/>
          </w:tcPr>
          <w:p w14:paraId="1689932A" w14:textId="77777777" w:rsidR="00067D45" w:rsidRPr="00067D45" w:rsidRDefault="00067D45" w:rsidP="00DB62CD">
            <w:pPr>
              <w:rPr>
                <w:rFonts w:cs="Arial"/>
                <w:sz w:val="20"/>
              </w:rPr>
            </w:pPr>
          </w:p>
        </w:tc>
        <w:tc>
          <w:tcPr>
            <w:tcW w:w="1701" w:type="dxa"/>
            <w:vMerge/>
            <w:shd w:val="clear" w:color="auto" w:fill="auto"/>
            <w:vAlign w:val="center"/>
          </w:tcPr>
          <w:p w14:paraId="36DF79E4" w14:textId="77777777" w:rsidR="00067D45" w:rsidRPr="00067D45" w:rsidRDefault="00067D45" w:rsidP="00DB62CD">
            <w:pPr>
              <w:rPr>
                <w:rFonts w:cs="Arial"/>
                <w:sz w:val="20"/>
              </w:rPr>
            </w:pPr>
          </w:p>
        </w:tc>
        <w:tc>
          <w:tcPr>
            <w:tcW w:w="1134" w:type="dxa"/>
            <w:shd w:val="clear" w:color="auto" w:fill="auto"/>
            <w:vAlign w:val="center"/>
          </w:tcPr>
          <w:p w14:paraId="3653EC2E" w14:textId="77777777" w:rsidR="00067D45" w:rsidRPr="00067D45" w:rsidRDefault="00067D45" w:rsidP="00DB62CD">
            <w:pPr>
              <w:rPr>
                <w:rFonts w:cs="Arial"/>
                <w:sz w:val="20"/>
              </w:rPr>
            </w:pPr>
            <w:r w:rsidRPr="00067D45">
              <w:rPr>
                <w:rFonts w:cs="Arial"/>
                <w:sz w:val="20"/>
              </w:rPr>
              <w:t>CH</w:t>
            </w:r>
            <w:r w:rsidRPr="00067D45">
              <w:rPr>
                <w:rFonts w:cs="Arial"/>
                <w:sz w:val="20"/>
                <w:vertAlign w:val="subscript"/>
              </w:rPr>
              <w:t>4</w:t>
            </w:r>
          </w:p>
        </w:tc>
        <w:tc>
          <w:tcPr>
            <w:tcW w:w="1158" w:type="dxa"/>
            <w:shd w:val="clear" w:color="auto" w:fill="auto"/>
            <w:vAlign w:val="center"/>
          </w:tcPr>
          <w:p w14:paraId="4C987E12" w14:textId="77777777" w:rsidR="00067D45" w:rsidRPr="00067D45" w:rsidRDefault="00067D45" w:rsidP="00DB62CD">
            <w:pPr>
              <w:rPr>
                <w:rFonts w:cs="Arial"/>
                <w:sz w:val="20"/>
              </w:rPr>
            </w:pPr>
            <w:r w:rsidRPr="00067D45">
              <w:rPr>
                <w:rFonts w:cs="Arial"/>
                <w:sz w:val="20"/>
              </w:rPr>
              <w:t>Yes</w:t>
            </w:r>
          </w:p>
        </w:tc>
        <w:tc>
          <w:tcPr>
            <w:tcW w:w="4618" w:type="dxa"/>
            <w:shd w:val="clear" w:color="auto" w:fill="auto"/>
            <w:vAlign w:val="center"/>
          </w:tcPr>
          <w:p w14:paraId="11295ED2" w14:textId="77777777" w:rsidR="00067D45" w:rsidRPr="00067D45" w:rsidRDefault="00067D45" w:rsidP="00DB62CD">
            <w:pPr>
              <w:rPr>
                <w:rFonts w:cs="Arial"/>
                <w:sz w:val="20"/>
              </w:rPr>
            </w:pPr>
            <w:r w:rsidRPr="00067D45">
              <w:rPr>
                <w:rFonts w:cs="Arial"/>
                <w:sz w:val="20"/>
              </w:rPr>
              <w:t>CH</w:t>
            </w:r>
            <w:r w:rsidRPr="00067D45">
              <w:rPr>
                <w:rFonts w:cs="Arial"/>
                <w:sz w:val="20"/>
                <w:vertAlign w:val="subscript"/>
              </w:rPr>
              <w:t>4</w:t>
            </w:r>
            <w:r w:rsidRPr="00067D45">
              <w:rPr>
                <w:rFonts w:cs="Arial"/>
                <w:sz w:val="20"/>
              </w:rPr>
              <w:t xml:space="preserve"> emissions from the baseline treatment methods of manure</w:t>
            </w:r>
          </w:p>
        </w:tc>
      </w:tr>
      <w:tr w:rsidR="00067D45" w:rsidRPr="003D4C85" w14:paraId="6F0AD6F7" w14:textId="77777777" w:rsidTr="00DB62CD">
        <w:trPr>
          <w:trHeight w:val="474"/>
        </w:trPr>
        <w:tc>
          <w:tcPr>
            <w:tcW w:w="959" w:type="dxa"/>
            <w:vMerge/>
            <w:tcBorders>
              <w:bottom w:val="single" w:sz="24" w:space="0" w:color="auto"/>
            </w:tcBorders>
            <w:shd w:val="clear" w:color="auto" w:fill="auto"/>
          </w:tcPr>
          <w:p w14:paraId="2E1F81E3" w14:textId="77777777" w:rsidR="00067D45" w:rsidRPr="00067D45" w:rsidRDefault="00067D45" w:rsidP="00DB62CD">
            <w:pPr>
              <w:rPr>
                <w:rFonts w:cs="Arial"/>
                <w:sz w:val="20"/>
              </w:rPr>
            </w:pPr>
          </w:p>
        </w:tc>
        <w:tc>
          <w:tcPr>
            <w:tcW w:w="1701" w:type="dxa"/>
            <w:vMerge/>
            <w:tcBorders>
              <w:bottom w:val="single" w:sz="24" w:space="0" w:color="auto"/>
            </w:tcBorders>
            <w:shd w:val="clear" w:color="auto" w:fill="auto"/>
            <w:vAlign w:val="center"/>
          </w:tcPr>
          <w:p w14:paraId="09C6A13C" w14:textId="77777777" w:rsidR="00067D45" w:rsidRPr="00067D45" w:rsidRDefault="00067D45" w:rsidP="00DB62CD">
            <w:pPr>
              <w:rPr>
                <w:rFonts w:cs="Arial"/>
                <w:sz w:val="20"/>
              </w:rPr>
            </w:pPr>
          </w:p>
        </w:tc>
        <w:tc>
          <w:tcPr>
            <w:tcW w:w="1134" w:type="dxa"/>
            <w:tcBorders>
              <w:bottom w:val="single" w:sz="24" w:space="0" w:color="auto"/>
            </w:tcBorders>
            <w:shd w:val="clear" w:color="auto" w:fill="auto"/>
            <w:vAlign w:val="center"/>
          </w:tcPr>
          <w:p w14:paraId="24241E04" w14:textId="77777777" w:rsidR="00067D45" w:rsidRPr="00067D45" w:rsidRDefault="00067D45" w:rsidP="00DB62CD">
            <w:pPr>
              <w:rPr>
                <w:rFonts w:cs="Arial"/>
                <w:sz w:val="20"/>
              </w:rPr>
            </w:pPr>
            <w:r w:rsidRPr="00067D45">
              <w:rPr>
                <w:rFonts w:cs="Arial"/>
                <w:sz w:val="20"/>
              </w:rPr>
              <w:t>N</w:t>
            </w:r>
            <w:r w:rsidRPr="00067D45">
              <w:rPr>
                <w:rFonts w:cs="Arial"/>
                <w:sz w:val="20"/>
                <w:vertAlign w:val="subscript"/>
              </w:rPr>
              <w:t>2</w:t>
            </w:r>
            <w:r w:rsidRPr="00067D45">
              <w:rPr>
                <w:rFonts w:cs="Arial"/>
                <w:sz w:val="20"/>
              </w:rPr>
              <w:t>O</w:t>
            </w:r>
          </w:p>
        </w:tc>
        <w:tc>
          <w:tcPr>
            <w:tcW w:w="1158" w:type="dxa"/>
            <w:tcBorders>
              <w:bottom w:val="single" w:sz="24" w:space="0" w:color="auto"/>
            </w:tcBorders>
            <w:shd w:val="clear" w:color="auto" w:fill="auto"/>
            <w:vAlign w:val="center"/>
          </w:tcPr>
          <w:p w14:paraId="18A0412B" w14:textId="77777777" w:rsidR="00067D45" w:rsidRPr="00067D45" w:rsidRDefault="00067D45" w:rsidP="00DB62CD">
            <w:pPr>
              <w:rPr>
                <w:rFonts w:cs="Arial"/>
                <w:sz w:val="20"/>
              </w:rPr>
            </w:pPr>
            <w:r w:rsidRPr="00067D45">
              <w:rPr>
                <w:rFonts w:cs="Arial"/>
                <w:sz w:val="20"/>
              </w:rPr>
              <w:t>No</w:t>
            </w:r>
          </w:p>
        </w:tc>
        <w:tc>
          <w:tcPr>
            <w:tcW w:w="4618" w:type="dxa"/>
            <w:tcBorders>
              <w:bottom w:val="single" w:sz="24" w:space="0" w:color="auto"/>
            </w:tcBorders>
            <w:shd w:val="clear" w:color="auto" w:fill="auto"/>
            <w:vAlign w:val="center"/>
          </w:tcPr>
          <w:p w14:paraId="56F0CD8F" w14:textId="77777777" w:rsidR="00067D45" w:rsidRPr="00067D45" w:rsidRDefault="00067D45" w:rsidP="00DB62CD">
            <w:pPr>
              <w:rPr>
                <w:rFonts w:cs="Arial"/>
                <w:sz w:val="20"/>
              </w:rPr>
            </w:pPr>
            <w:r w:rsidRPr="00067D45">
              <w:rPr>
                <w:rFonts w:cs="Arial"/>
                <w:sz w:val="20"/>
              </w:rPr>
              <w:t xml:space="preserve">Excluded, insignificant source of emissions. </w:t>
            </w:r>
          </w:p>
        </w:tc>
      </w:tr>
      <w:tr w:rsidR="00067D45" w:rsidRPr="003D4C85" w14:paraId="7445A7ED" w14:textId="77777777" w:rsidTr="00DB62CD">
        <w:trPr>
          <w:trHeight w:val="538"/>
        </w:trPr>
        <w:tc>
          <w:tcPr>
            <w:tcW w:w="959" w:type="dxa"/>
            <w:vMerge w:val="restart"/>
            <w:tcBorders>
              <w:top w:val="single" w:sz="24" w:space="0" w:color="auto"/>
            </w:tcBorders>
            <w:shd w:val="clear" w:color="auto" w:fill="auto"/>
            <w:textDirection w:val="btLr"/>
            <w:vAlign w:val="center"/>
          </w:tcPr>
          <w:p w14:paraId="0DE5B0C7" w14:textId="77777777" w:rsidR="00067D45" w:rsidRPr="00067D45" w:rsidRDefault="00067D45" w:rsidP="00067D45">
            <w:pPr>
              <w:jc w:val="center"/>
              <w:rPr>
                <w:rFonts w:cs="Arial"/>
                <w:sz w:val="20"/>
              </w:rPr>
            </w:pPr>
            <w:r w:rsidRPr="00067D45">
              <w:rPr>
                <w:rFonts w:cs="Arial"/>
                <w:sz w:val="20"/>
              </w:rPr>
              <w:t>Project Activity</w:t>
            </w:r>
          </w:p>
        </w:tc>
        <w:tc>
          <w:tcPr>
            <w:tcW w:w="1701" w:type="dxa"/>
            <w:vMerge w:val="restart"/>
            <w:tcBorders>
              <w:top w:val="single" w:sz="24" w:space="0" w:color="auto"/>
            </w:tcBorders>
            <w:shd w:val="clear" w:color="auto" w:fill="auto"/>
            <w:vAlign w:val="center"/>
          </w:tcPr>
          <w:p w14:paraId="3FBB7D43" w14:textId="77777777" w:rsidR="00067D45" w:rsidRPr="00067D45" w:rsidRDefault="00067D45" w:rsidP="00DB62CD">
            <w:pPr>
              <w:rPr>
                <w:rFonts w:cs="Arial"/>
                <w:sz w:val="20"/>
              </w:rPr>
            </w:pPr>
            <w:r w:rsidRPr="00067D45">
              <w:rPr>
                <w:rFonts w:cs="Arial"/>
                <w:sz w:val="20"/>
              </w:rPr>
              <w:t>Combustion of biogas</w:t>
            </w:r>
          </w:p>
        </w:tc>
        <w:tc>
          <w:tcPr>
            <w:tcW w:w="1134" w:type="dxa"/>
            <w:tcBorders>
              <w:top w:val="single" w:sz="24" w:space="0" w:color="auto"/>
            </w:tcBorders>
            <w:shd w:val="clear" w:color="auto" w:fill="auto"/>
            <w:vAlign w:val="center"/>
          </w:tcPr>
          <w:p w14:paraId="16C14B4F" w14:textId="77777777" w:rsidR="00067D45" w:rsidRPr="00067D45" w:rsidRDefault="00067D45" w:rsidP="00DB62CD">
            <w:pPr>
              <w:rPr>
                <w:rFonts w:cs="Arial"/>
                <w:sz w:val="20"/>
              </w:rPr>
            </w:pPr>
            <w:r w:rsidRPr="00067D45">
              <w:rPr>
                <w:rFonts w:cs="Arial"/>
                <w:sz w:val="20"/>
              </w:rPr>
              <w:t>CO</w:t>
            </w:r>
            <w:r w:rsidRPr="00067D45">
              <w:rPr>
                <w:rFonts w:cs="Arial"/>
                <w:sz w:val="20"/>
                <w:vertAlign w:val="subscript"/>
              </w:rPr>
              <w:t>2</w:t>
            </w:r>
          </w:p>
        </w:tc>
        <w:tc>
          <w:tcPr>
            <w:tcW w:w="1158" w:type="dxa"/>
            <w:tcBorders>
              <w:top w:val="single" w:sz="24" w:space="0" w:color="auto"/>
            </w:tcBorders>
            <w:shd w:val="clear" w:color="auto" w:fill="auto"/>
            <w:vAlign w:val="center"/>
          </w:tcPr>
          <w:p w14:paraId="1072D29F" w14:textId="77777777" w:rsidR="00067D45" w:rsidRPr="00067D45" w:rsidRDefault="00067D45" w:rsidP="00DB62CD">
            <w:pPr>
              <w:rPr>
                <w:rFonts w:cs="Arial"/>
                <w:sz w:val="20"/>
              </w:rPr>
            </w:pPr>
            <w:r w:rsidRPr="00067D45">
              <w:rPr>
                <w:rFonts w:cs="Arial"/>
                <w:sz w:val="20"/>
              </w:rPr>
              <w:t>Yes</w:t>
            </w:r>
          </w:p>
        </w:tc>
        <w:tc>
          <w:tcPr>
            <w:tcW w:w="4618" w:type="dxa"/>
            <w:tcBorders>
              <w:top w:val="single" w:sz="24" w:space="0" w:color="auto"/>
            </w:tcBorders>
            <w:shd w:val="clear" w:color="auto" w:fill="auto"/>
            <w:vAlign w:val="center"/>
          </w:tcPr>
          <w:p w14:paraId="2006C4BA" w14:textId="77777777" w:rsidR="00067D45" w:rsidRPr="00067D45" w:rsidRDefault="00067D45" w:rsidP="00DB62CD">
            <w:pPr>
              <w:rPr>
                <w:rFonts w:cs="Arial"/>
                <w:sz w:val="20"/>
              </w:rPr>
            </w:pPr>
            <w:r w:rsidRPr="00067D45">
              <w:rPr>
                <w:rFonts w:cs="Arial"/>
                <w:sz w:val="20"/>
              </w:rPr>
              <w:t>CO</w:t>
            </w:r>
            <w:r w:rsidRPr="00067D45">
              <w:rPr>
                <w:rFonts w:cs="Arial"/>
                <w:sz w:val="20"/>
                <w:vertAlign w:val="subscript"/>
              </w:rPr>
              <w:t>2</w:t>
            </w:r>
            <w:r w:rsidRPr="00067D45">
              <w:rPr>
                <w:rFonts w:cs="Arial"/>
                <w:sz w:val="20"/>
              </w:rPr>
              <w:t xml:space="preserve"> emissions from</w:t>
            </w:r>
          </w:p>
          <w:p w14:paraId="3EB5D86E" w14:textId="77777777" w:rsidR="00067D45" w:rsidRPr="00067D45" w:rsidRDefault="00067D45" w:rsidP="001E0142">
            <w:pPr>
              <w:numPr>
                <w:ilvl w:val="0"/>
                <w:numId w:val="36"/>
              </w:numPr>
              <w:ind w:left="436"/>
              <w:rPr>
                <w:rFonts w:cs="Arial"/>
                <w:sz w:val="20"/>
              </w:rPr>
            </w:pPr>
            <w:r w:rsidRPr="00067D45">
              <w:rPr>
                <w:rFonts w:cs="Arial"/>
                <w:sz w:val="20"/>
              </w:rPr>
              <w:t xml:space="preserve">fossil fuel cook stoves </w:t>
            </w:r>
          </w:p>
          <w:p w14:paraId="613CCB07" w14:textId="77777777" w:rsidR="00067D45" w:rsidRPr="00067D45" w:rsidRDefault="00067D45" w:rsidP="001E0142">
            <w:pPr>
              <w:numPr>
                <w:ilvl w:val="0"/>
                <w:numId w:val="36"/>
              </w:numPr>
              <w:ind w:left="436"/>
              <w:rPr>
                <w:rFonts w:cs="Arial"/>
                <w:sz w:val="20"/>
              </w:rPr>
            </w:pPr>
            <w:r w:rsidRPr="00067D45">
              <w:rPr>
                <w:rFonts w:cs="Arial"/>
                <w:sz w:val="20"/>
              </w:rPr>
              <w:t>cook stoves using non-renewable biomass</w:t>
            </w:r>
          </w:p>
        </w:tc>
      </w:tr>
      <w:tr w:rsidR="00067D45" w:rsidRPr="003D4C85" w14:paraId="563827D9" w14:textId="77777777" w:rsidTr="00DB62CD">
        <w:trPr>
          <w:trHeight w:val="538"/>
        </w:trPr>
        <w:tc>
          <w:tcPr>
            <w:tcW w:w="959" w:type="dxa"/>
            <w:vMerge/>
            <w:shd w:val="clear" w:color="auto" w:fill="auto"/>
          </w:tcPr>
          <w:p w14:paraId="2F482DE1" w14:textId="77777777" w:rsidR="00067D45" w:rsidRPr="00067D45" w:rsidRDefault="00067D45" w:rsidP="00DB62CD">
            <w:pPr>
              <w:rPr>
                <w:rFonts w:cs="Arial"/>
                <w:sz w:val="20"/>
              </w:rPr>
            </w:pPr>
          </w:p>
        </w:tc>
        <w:tc>
          <w:tcPr>
            <w:tcW w:w="1701" w:type="dxa"/>
            <w:vMerge/>
            <w:shd w:val="clear" w:color="auto" w:fill="auto"/>
          </w:tcPr>
          <w:p w14:paraId="7F14D119" w14:textId="77777777" w:rsidR="00067D45" w:rsidRPr="00067D45" w:rsidRDefault="00067D45" w:rsidP="00DB62CD">
            <w:pPr>
              <w:rPr>
                <w:rFonts w:cs="Arial"/>
                <w:sz w:val="20"/>
              </w:rPr>
            </w:pPr>
          </w:p>
        </w:tc>
        <w:tc>
          <w:tcPr>
            <w:tcW w:w="1134" w:type="dxa"/>
            <w:shd w:val="clear" w:color="auto" w:fill="auto"/>
            <w:vAlign w:val="center"/>
          </w:tcPr>
          <w:p w14:paraId="5CA6AD68" w14:textId="77777777" w:rsidR="00067D45" w:rsidRPr="00067D45" w:rsidRDefault="00067D45" w:rsidP="00DB62CD">
            <w:pPr>
              <w:rPr>
                <w:rFonts w:cs="Arial"/>
                <w:sz w:val="20"/>
              </w:rPr>
            </w:pPr>
            <w:r w:rsidRPr="00067D45">
              <w:rPr>
                <w:rFonts w:cs="Arial"/>
                <w:sz w:val="20"/>
              </w:rPr>
              <w:t>CH</w:t>
            </w:r>
            <w:r w:rsidRPr="00067D45">
              <w:rPr>
                <w:rFonts w:cs="Arial"/>
                <w:sz w:val="20"/>
                <w:vertAlign w:val="subscript"/>
              </w:rPr>
              <w:t>4</w:t>
            </w:r>
          </w:p>
        </w:tc>
        <w:tc>
          <w:tcPr>
            <w:tcW w:w="1158" w:type="dxa"/>
            <w:shd w:val="clear" w:color="auto" w:fill="auto"/>
            <w:vAlign w:val="center"/>
          </w:tcPr>
          <w:p w14:paraId="01575C68" w14:textId="77777777" w:rsidR="00067D45" w:rsidRPr="00067D45" w:rsidRDefault="00067D45" w:rsidP="00DB62CD">
            <w:pPr>
              <w:rPr>
                <w:rFonts w:cs="Arial"/>
                <w:sz w:val="20"/>
              </w:rPr>
            </w:pPr>
            <w:r w:rsidRPr="00067D45">
              <w:rPr>
                <w:rFonts w:cs="Arial"/>
                <w:sz w:val="20"/>
              </w:rPr>
              <w:t>Yes</w:t>
            </w:r>
          </w:p>
        </w:tc>
        <w:tc>
          <w:tcPr>
            <w:tcW w:w="4618" w:type="dxa"/>
            <w:shd w:val="clear" w:color="auto" w:fill="auto"/>
            <w:vAlign w:val="center"/>
          </w:tcPr>
          <w:p w14:paraId="0F80AB4B" w14:textId="77777777" w:rsidR="00067D45" w:rsidRPr="00067D45" w:rsidRDefault="00067D45" w:rsidP="00DB62CD">
            <w:pPr>
              <w:rPr>
                <w:rFonts w:cs="Arial"/>
                <w:sz w:val="20"/>
              </w:rPr>
            </w:pPr>
            <w:r w:rsidRPr="00067D45">
              <w:rPr>
                <w:rFonts w:cs="Arial"/>
                <w:sz w:val="20"/>
              </w:rPr>
              <w:t>Emissions due to the manure not fed into the bio digester, as per the applied methodology.</w:t>
            </w:r>
          </w:p>
        </w:tc>
      </w:tr>
      <w:tr w:rsidR="00067D45" w:rsidRPr="003D4C85" w14:paraId="5F90AF64" w14:textId="77777777" w:rsidTr="00DB62CD">
        <w:trPr>
          <w:trHeight w:val="538"/>
        </w:trPr>
        <w:tc>
          <w:tcPr>
            <w:tcW w:w="959" w:type="dxa"/>
            <w:vMerge/>
            <w:shd w:val="clear" w:color="auto" w:fill="auto"/>
          </w:tcPr>
          <w:p w14:paraId="435D9FBD" w14:textId="77777777" w:rsidR="00067D45" w:rsidRPr="00067D45" w:rsidRDefault="00067D45" w:rsidP="00DB62CD">
            <w:pPr>
              <w:rPr>
                <w:rFonts w:cs="Arial"/>
                <w:sz w:val="20"/>
              </w:rPr>
            </w:pPr>
          </w:p>
        </w:tc>
        <w:tc>
          <w:tcPr>
            <w:tcW w:w="1701" w:type="dxa"/>
            <w:vMerge/>
            <w:shd w:val="clear" w:color="auto" w:fill="auto"/>
          </w:tcPr>
          <w:p w14:paraId="79C5E707" w14:textId="77777777" w:rsidR="00067D45" w:rsidRPr="00067D45" w:rsidRDefault="00067D45" w:rsidP="00DB62CD">
            <w:pPr>
              <w:rPr>
                <w:rFonts w:cs="Arial"/>
                <w:sz w:val="20"/>
              </w:rPr>
            </w:pPr>
          </w:p>
        </w:tc>
        <w:tc>
          <w:tcPr>
            <w:tcW w:w="1134" w:type="dxa"/>
            <w:shd w:val="clear" w:color="auto" w:fill="auto"/>
            <w:vAlign w:val="center"/>
          </w:tcPr>
          <w:p w14:paraId="383D01C9" w14:textId="77777777" w:rsidR="00067D45" w:rsidRPr="00067D45" w:rsidRDefault="00067D45" w:rsidP="00DB62CD">
            <w:pPr>
              <w:rPr>
                <w:rFonts w:cs="Arial"/>
                <w:sz w:val="20"/>
              </w:rPr>
            </w:pPr>
            <w:r w:rsidRPr="00067D45">
              <w:rPr>
                <w:rFonts w:cs="Arial"/>
                <w:sz w:val="20"/>
              </w:rPr>
              <w:t>N</w:t>
            </w:r>
            <w:r w:rsidRPr="00067D45">
              <w:rPr>
                <w:rFonts w:cs="Arial"/>
                <w:sz w:val="20"/>
                <w:vertAlign w:val="subscript"/>
              </w:rPr>
              <w:t>2</w:t>
            </w:r>
            <w:r w:rsidRPr="00067D45">
              <w:rPr>
                <w:rFonts w:cs="Arial"/>
                <w:sz w:val="20"/>
              </w:rPr>
              <w:t>O</w:t>
            </w:r>
          </w:p>
        </w:tc>
        <w:tc>
          <w:tcPr>
            <w:tcW w:w="1158" w:type="dxa"/>
            <w:shd w:val="clear" w:color="auto" w:fill="auto"/>
            <w:vAlign w:val="center"/>
          </w:tcPr>
          <w:p w14:paraId="177A5ACE" w14:textId="77777777" w:rsidR="00067D45" w:rsidRPr="00067D45" w:rsidRDefault="00067D45" w:rsidP="00DB62CD">
            <w:pPr>
              <w:rPr>
                <w:rFonts w:cs="Arial"/>
                <w:sz w:val="20"/>
              </w:rPr>
            </w:pPr>
            <w:r w:rsidRPr="00067D45">
              <w:rPr>
                <w:rFonts w:cs="Arial"/>
                <w:sz w:val="20"/>
              </w:rPr>
              <w:t>No</w:t>
            </w:r>
          </w:p>
        </w:tc>
        <w:tc>
          <w:tcPr>
            <w:tcW w:w="4618" w:type="dxa"/>
            <w:shd w:val="clear" w:color="auto" w:fill="auto"/>
            <w:vAlign w:val="center"/>
          </w:tcPr>
          <w:p w14:paraId="4BFA620F" w14:textId="77777777" w:rsidR="00067D45" w:rsidRPr="00067D45" w:rsidRDefault="00067D45" w:rsidP="00DB62CD">
            <w:pPr>
              <w:rPr>
                <w:rFonts w:cs="Arial"/>
                <w:sz w:val="20"/>
              </w:rPr>
            </w:pPr>
            <w:r w:rsidRPr="00067D45">
              <w:rPr>
                <w:rFonts w:cs="Arial"/>
                <w:sz w:val="20"/>
              </w:rPr>
              <w:t xml:space="preserve">Excluded, insignificant source of emissions. </w:t>
            </w:r>
          </w:p>
        </w:tc>
      </w:tr>
    </w:tbl>
    <w:p w14:paraId="4CA57647" w14:textId="77777777" w:rsidR="00205C60" w:rsidRDefault="00205C60" w:rsidP="0089085E">
      <w:pPr>
        <w:pStyle w:val="SDMPDDPoASubSection1"/>
        <w:keepNext w:val="0"/>
        <w:keepLines w:val="0"/>
        <w:spacing w:before="0" w:after="0"/>
        <w:rPr>
          <w:b w:val="0"/>
        </w:rPr>
      </w:pPr>
    </w:p>
    <w:p w14:paraId="02B771AA" w14:textId="77777777" w:rsidR="00067D45" w:rsidRDefault="00067D45" w:rsidP="00067D45">
      <w:pPr>
        <w:rPr>
          <w:rFonts w:cs="Arial"/>
          <w:szCs w:val="22"/>
        </w:rPr>
      </w:pPr>
      <w:r w:rsidRPr="003D4C85">
        <w:rPr>
          <w:rFonts w:cs="Arial"/>
        </w:rPr>
        <w:t>The project boundary is the physical, geographical site of the use of biomass or the rene</w:t>
      </w:r>
      <w:r w:rsidR="00CB783F">
        <w:rPr>
          <w:rFonts w:cs="Arial"/>
        </w:rPr>
        <w:t xml:space="preserve">wable energy as demonstrated in </w:t>
      </w:r>
      <w:r w:rsidR="00386F9E">
        <w:rPr>
          <w:rFonts w:cs="Arial"/>
        </w:rPr>
        <w:fldChar w:fldCharType="begin"/>
      </w:r>
      <w:r w:rsidR="00CB783F">
        <w:rPr>
          <w:rFonts w:cs="Arial"/>
        </w:rPr>
        <w:instrText xml:space="preserve"> REF _Ref494188511 \h </w:instrText>
      </w:r>
      <w:r w:rsidR="00386F9E">
        <w:rPr>
          <w:rFonts w:cs="Arial"/>
        </w:rPr>
      </w:r>
      <w:r w:rsidR="00386F9E">
        <w:rPr>
          <w:rFonts w:cs="Arial"/>
        </w:rPr>
        <w:fldChar w:fldCharType="separate"/>
      </w:r>
      <w:r w:rsidR="00FE38F8">
        <w:t xml:space="preserve">Figure </w:t>
      </w:r>
      <w:r w:rsidR="00FE38F8">
        <w:rPr>
          <w:noProof/>
        </w:rPr>
        <w:t>3</w:t>
      </w:r>
      <w:r w:rsidR="00386F9E">
        <w:rPr>
          <w:rFonts w:cs="Arial"/>
        </w:rPr>
        <w:fldChar w:fldCharType="end"/>
      </w:r>
      <w:r w:rsidR="00CB783F">
        <w:rPr>
          <w:rFonts w:cs="Arial"/>
        </w:rPr>
        <w:t xml:space="preserve">. </w:t>
      </w:r>
    </w:p>
    <w:p w14:paraId="52904180" w14:textId="77777777" w:rsidR="00064CEE" w:rsidRPr="00067D45" w:rsidRDefault="00064CEE" w:rsidP="00067D45">
      <w:pPr>
        <w:rPr>
          <w:rFonts w:cs="Arial"/>
          <w:szCs w:val="22"/>
        </w:rPr>
      </w:pPr>
    </w:p>
    <w:p w14:paraId="032DB4EE" w14:textId="77777777" w:rsidR="00067D45" w:rsidRPr="00064CEE" w:rsidRDefault="00B53A36" w:rsidP="00CB783F">
      <w:pPr>
        <w:pStyle w:val="Caption"/>
        <w:ind w:hanging="1956"/>
        <w:rPr>
          <w:b w:val="0"/>
          <w:i/>
          <w:szCs w:val="22"/>
        </w:rPr>
      </w:pPr>
      <w:bookmarkStart w:id="12" w:name="_Ref494188511"/>
      <w:r>
        <w:t xml:space="preserve">Figure </w:t>
      </w:r>
      <w:r w:rsidR="00386F9E">
        <w:fldChar w:fldCharType="begin"/>
      </w:r>
      <w:r>
        <w:instrText xml:space="preserve"> SEQ Figure \* ARABIC </w:instrText>
      </w:r>
      <w:r w:rsidR="00386F9E">
        <w:fldChar w:fldCharType="separate"/>
      </w:r>
      <w:r w:rsidR="00FE38F8">
        <w:rPr>
          <w:noProof/>
        </w:rPr>
        <w:t>3</w:t>
      </w:r>
      <w:r w:rsidR="00386F9E">
        <w:fldChar w:fldCharType="end"/>
      </w:r>
      <w:bookmarkEnd w:id="12"/>
      <w:r>
        <w:t xml:space="preserve"> </w:t>
      </w:r>
      <w:r w:rsidR="00064CEE" w:rsidRPr="00CB783F">
        <w:rPr>
          <w:b w:val="0"/>
          <w:i/>
          <w:iCs/>
        </w:rPr>
        <w:t>Schematic diagram of biogas system project boundary</w:t>
      </w:r>
    </w:p>
    <w:p w14:paraId="0B82C862" w14:textId="77777777" w:rsidR="00067D45" w:rsidRDefault="00A9764A" w:rsidP="00067D45">
      <w:r>
        <w:rPr>
          <w:noProof/>
          <w:lang w:val="en-US" w:eastAsia="en-US"/>
        </w:rPr>
        <mc:AlternateContent>
          <mc:Choice Requires="wpg">
            <w:drawing>
              <wp:inline distT="0" distB="0" distL="0" distR="0" wp14:anchorId="0E64D54C" wp14:editId="4D577C6E">
                <wp:extent cx="5650865" cy="1366520"/>
                <wp:effectExtent l="11430" t="8890" r="5080" b="5715"/>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1366520"/>
                          <a:chOff x="1861" y="8488"/>
                          <a:chExt cx="8899" cy="2152"/>
                        </a:xfrm>
                      </wpg:grpSpPr>
                      <wps:wsp>
                        <wps:cNvPr id="5" name="Straight Connector 1"/>
                        <wps:cNvCnPr/>
                        <wps:spPr bwMode="auto">
                          <a:xfrm>
                            <a:off x="7100" y="9426"/>
                            <a:ext cx="1214" cy="55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wps:wsp>
                        <wps:cNvPr id="6" name="Straight Connector 1"/>
                        <wps:cNvCnPr/>
                        <wps:spPr bwMode="auto">
                          <a:xfrm flipV="1">
                            <a:off x="7114" y="8986"/>
                            <a:ext cx="1099" cy="43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wps:wsp>
                        <wps:cNvPr id="7" name="Straight Connector 1"/>
                        <wps:cNvCnPr/>
                        <wps:spPr bwMode="auto">
                          <a:xfrm>
                            <a:off x="4385" y="9526"/>
                            <a:ext cx="1019"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wps:wsp>
                        <wps:cNvPr id="8" name="Rectangle 2"/>
                        <wps:cNvSpPr>
                          <a:spLocks noChangeArrowheads="1"/>
                        </wps:cNvSpPr>
                        <wps:spPr bwMode="auto">
                          <a:xfrm>
                            <a:off x="1861" y="8488"/>
                            <a:ext cx="8899" cy="2152"/>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wps:wsp>
                        <wps:cNvPr id="9" name="Text Box 3"/>
                        <wps:cNvSpPr txBox="1">
                          <a:spLocks noChangeArrowheads="1"/>
                        </wps:cNvSpPr>
                        <wps:spPr bwMode="auto">
                          <a:xfrm>
                            <a:off x="2346" y="9200"/>
                            <a:ext cx="2006" cy="5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4B386D" w14:textId="77777777" w:rsidR="00DA2181" w:rsidRPr="00AF0950" w:rsidRDefault="00DA2181" w:rsidP="00067D45">
                              <w:pPr>
                                <w:rPr>
                                  <w:sz w:val="20"/>
                                </w:rPr>
                              </w:pPr>
                              <w:r w:rsidRPr="00AF0950">
                                <w:rPr>
                                  <w:sz w:val="20"/>
                                </w:rPr>
                                <w:t>Feedstock inlet(s)</w:t>
                              </w:r>
                            </w:p>
                          </w:txbxContent>
                        </wps:txbx>
                        <wps:bodyPr rot="0" vert="horz" wrap="square" lIns="91440" tIns="91440" rIns="91440" bIns="91440" anchor="t" anchorCtr="0" upright="1">
                          <a:noAutofit/>
                        </wps:bodyPr>
                      </wps:wsp>
                      <wps:wsp>
                        <wps:cNvPr id="10" name="Text Box 6"/>
                        <wps:cNvSpPr txBox="1">
                          <a:spLocks noChangeArrowheads="1"/>
                        </wps:cNvSpPr>
                        <wps:spPr bwMode="auto">
                          <a:xfrm>
                            <a:off x="8304" y="9826"/>
                            <a:ext cx="1764" cy="5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A3B9A" w14:textId="77777777" w:rsidR="00DA2181" w:rsidRPr="00AF0950" w:rsidRDefault="00DA2181" w:rsidP="00067D45">
                              <w:pPr>
                                <w:rPr>
                                  <w:sz w:val="20"/>
                                </w:rPr>
                              </w:pPr>
                              <w:r w:rsidRPr="00AF0950">
                                <w:rPr>
                                  <w:sz w:val="20"/>
                                </w:rPr>
                                <w:t>Bio-slurry outlet</w:t>
                              </w:r>
                            </w:p>
                          </w:txbxContent>
                        </wps:txbx>
                        <wps:bodyPr rot="0" vert="horz" wrap="square" lIns="91440" tIns="91440" rIns="91440" bIns="91440" anchor="t" anchorCtr="0" upright="1">
                          <a:noAutofit/>
                        </wps:bodyPr>
                      </wps:wsp>
                      <wps:wsp>
                        <wps:cNvPr id="11" name="Text Box 7"/>
                        <wps:cNvSpPr txBox="1">
                          <a:spLocks noChangeArrowheads="1"/>
                        </wps:cNvSpPr>
                        <wps:spPr bwMode="auto">
                          <a:xfrm>
                            <a:off x="8239" y="8664"/>
                            <a:ext cx="2006" cy="599"/>
                          </a:xfrm>
                          <a:prstGeom prst="rect">
                            <a:avLst/>
                          </a:prstGeom>
                          <a:solidFill>
                            <a:srgbClr val="FFFFFF">
                              <a:alpha val="50195"/>
                            </a:srgbClr>
                          </a:solidFill>
                          <a:ln w="9525">
                            <a:solidFill>
                              <a:srgbClr val="000000"/>
                            </a:solidFill>
                            <a:miter lim="800000"/>
                            <a:headEnd/>
                            <a:tailEnd/>
                          </a:ln>
                        </wps:spPr>
                        <wps:txbx>
                          <w:txbxContent>
                            <w:p w14:paraId="27CF3DA8" w14:textId="77777777" w:rsidR="00DA2181" w:rsidRPr="00AF0950" w:rsidRDefault="00DA2181" w:rsidP="00067D45">
                              <w:pPr>
                                <w:rPr>
                                  <w:sz w:val="20"/>
                                </w:rPr>
                              </w:pPr>
                              <w:r w:rsidRPr="00AF0950">
                                <w:rPr>
                                  <w:sz w:val="20"/>
                                </w:rPr>
                                <w:t>Biogas appliances</w:t>
                              </w:r>
                            </w:p>
                          </w:txbxContent>
                        </wps:txbx>
                        <wps:bodyPr rot="0" vert="horz" wrap="square" lIns="91440" tIns="91440" rIns="91440" bIns="91440" anchor="t" anchorCtr="0" upright="1">
                          <a:noAutofit/>
                        </wps:bodyPr>
                      </wps:wsp>
                      <wps:wsp>
                        <wps:cNvPr id="13" name="Text Box 4"/>
                        <wps:cNvSpPr txBox="1">
                          <a:spLocks noChangeArrowheads="1"/>
                        </wps:cNvSpPr>
                        <wps:spPr bwMode="auto">
                          <a:xfrm>
                            <a:off x="5386" y="9184"/>
                            <a:ext cx="1699" cy="599"/>
                          </a:xfrm>
                          <a:prstGeom prst="rect">
                            <a:avLst/>
                          </a:prstGeom>
                          <a:solidFill>
                            <a:srgbClr val="FFFFFF">
                              <a:alpha val="50195"/>
                            </a:srgbClr>
                          </a:solidFill>
                          <a:ln w="9525">
                            <a:solidFill>
                              <a:srgbClr val="000000"/>
                            </a:solidFill>
                            <a:miter lim="800000"/>
                            <a:headEnd/>
                            <a:tailEnd/>
                          </a:ln>
                        </wps:spPr>
                        <wps:txbx>
                          <w:txbxContent>
                            <w:p w14:paraId="5D134430" w14:textId="77777777" w:rsidR="00DA2181" w:rsidRPr="00AF0950" w:rsidRDefault="00DA2181" w:rsidP="00067D45">
                              <w:pPr>
                                <w:rPr>
                                  <w:sz w:val="20"/>
                                </w:rPr>
                              </w:pPr>
                              <w:r w:rsidRPr="00AF0950">
                                <w:rPr>
                                  <w:sz w:val="20"/>
                                </w:rPr>
                                <w:t>Biogas digester</w:t>
                              </w:r>
                            </w:p>
                          </w:txbxContent>
                        </wps:txbx>
                        <wps:bodyPr rot="0" vert="horz" wrap="square" lIns="91440" tIns="91440" rIns="91440" bIns="91440" anchor="t" anchorCtr="0" upright="1">
                          <a:noAutofit/>
                        </wps:bodyPr>
                      </wps:wsp>
                    </wpg:wgp>
                  </a:graphicData>
                </a:graphic>
              </wp:inline>
            </w:drawing>
          </mc:Choice>
          <mc:Fallback>
            <w:pict>
              <v:group w14:anchorId="0E64D54C" id="Group 12" o:spid="_x0000_s1031" style="width:444.95pt;height:107.6pt;mso-position-horizontal-relative:char;mso-position-vertical-relative:line" coordorigin="1861,8488" coordsize="8899,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">
                <v:line id="Straight Connector 1" o:spid="_x0000_s1032" style="position:absolute;visibility:visible;mso-wrap-style:square" from="7100,9426" to="8314,9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" strokeweight="2pt">
                  <v:shadow opacity="24903f" origin=",.5" offset="0,.55556mm"/>
                </v:line>
                <v:line id="Straight Connector 1" o:spid="_x0000_s1033" style="position:absolute;flip:y;visibility:visible;mso-wrap-style:square" from="7114,8986" to="8213,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" strokeweight="2pt">
                  <v:shadow opacity="24903f" origin=",.5" offset="0,.55556mm"/>
                </v:line>
                <v:line id="Straight Connector 1" o:spid="_x0000_s1034" style="position:absolute;visibility:visible;mso-wrap-style:square" from="4385,9526" to="5404,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" strokeweight="2pt">
                  <v:shadow opacity="24903f" origin=",.5" offset="0,.55556mm"/>
                </v:line>
                <v:rect id="Rectangle 2" o:spid="_x0000_s1035" style="position:absolute;left:1861;top:8488;width:8899;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" filled="f" fillcolor="#9bc1ff">
                  <v:fill color2="#3f80cd" rotate="t" focus="100%" type="gradient">
                    <o:fill v:ext="view" type="gradientUnscaled"/>
                  </v:fill>
                  <v:shadow opacity="22936f" origin=",.5" offset="0,.63889mm"/>
                </v:rect>
                <v:shape id="Text Box 3" o:spid="_x0000_s1036" type="#_x0000_t202" style="position:absolute;left:2346;top:9200;width:2006;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" filled="f">
                  <v:textbox inset=",7.2pt,,7.2pt">
                    <w:txbxContent>
                      <w:p w14:paraId="3A4B386D" w14:textId="77777777" w:rsidR="00DA2181" w:rsidRPr="00AF0950" w:rsidRDefault="00DA2181" w:rsidP="00067D45">
                        <w:pPr>
                          <w:rPr>
                            <w:sz w:val="20"/>
                          </w:rPr>
                        </w:pPr>
                        <w:r w:rsidRPr="00AF0950">
                          <w:rPr>
                            <w:sz w:val="20"/>
                          </w:rPr>
                          <w:t>Feedstock inlet(s)</w:t>
                        </w:r>
                      </w:p>
                    </w:txbxContent>
                  </v:textbox>
                </v:shape>
                <v:shape id="Text Box 6" o:spid="_x0000_s1037" type="#_x0000_t202" style="position:absolute;left:8304;top:9826;width:1764;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" filled="f">
                  <v:textbox inset=",7.2pt,,7.2pt">
                    <w:txbxContent>
                      <w:p w14:paraId="5D2A3B9A" w14:textId="77777777" w:rsidR="00DA2181" w:rsidRPr="00AF0950" w:rsidRDefault="00DA2181" w:rsidP="00067D45">
                        <w:pPr>
                          <w:rPr>
                            <w:sz w:val="20"/>
                          </w:rPr>
                        </w:pPr>
                        <w:r w:rsidRPr="00AF0950">
                          <w:rPr>
                            <w:sz w:val="20"/>
                          </w:rPr>
                          <w:t>Bio-slurry outlet</w:t>
                        </w:r>
                      </w:p>
                    </w:txbxContent>
                  </v:textbox>
                </v:shape>
                <v:shape id="Text Box 7" o:spid="_x0000_s1038" type="#_x0000_t202" style="position:absolute;left:8239;top:8664;width:2006;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">
                  <v:fill opacity="32896f"/>
                  <v:textbox inset=",7.2pt,,7.2pt">
                    <w:txbxContent>
                      <w:p w14:paraId="27CF3DA8" w14:textId="77777777" w:rsidR="00DA2181" w:rsidRPr="00AF0950" w:rsidRDefault="00DA2181" w:rsidP="00067D45">
                        <w:pPr>
                          <w:rPr>
                            <w:sz w:val="20"/>
                          </w:rPr>
                        </w:pPr>
                        <w:r w:rsidRPr="00AF0950">
                          <w:rPr>
                            <w:sz w:val="20"/>
                          </w:rPr>
                          <w:t>Biogas appliances</w:t>
                        </w:r>
                      </w:p>
                    </w:txbxContent>
                  </v:textbox>
                </v:shape>
                <v:shape id="Text Box 4" o:spid="_x0000_s1039" type="#_x0000_t202" style="position:absolute;left:5386;top:9184;width:1699;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">
                  <v:fill opacity="32896f"/>
                  <v:textbox inset=",7.2pt,,7.2pt">
                    <w:txbxContent>
                      <w:p w14:paraId="5D134430" w14:textId="77777777" w:rsidR="00DA2181" w:rsidRPr="00AF0950" w:rsidRDefault="00DA2181" w:rsidP="00067D45">
                        <w:pPr>
                          <w:rPr>
                            <w:sz w:val="20"/>
                          </w:rPr>
                        </w:pPr>
                        <w:r w:rsidRPr="00AF0950">
                          <w:rPr>
                            <w:sz w:val="20"/>
                          </w:rPr>
                          <w:t>Biogas digester</w:t>
                        </w:r>
                      </w:p>
                    </w:txbxContent>
                  </v:textbox>
                </v:shape>
                <w10:anchorlock/>
              </v:group>
            </w:pict>
          </mc:Fallback>
        </mc:AlternateContent>
      </w:r>
    </w:p>
    <w:p w14:paraId="334E1ABE" w14:textId="77777777" w:rsidR="00067D45" w:rsidRPr="003D4C85" w:rsidRDefault="00067D45" w:rsidP="00067D45">
      <w:pPr>
        <w:rPr>
          <w:rFonts w:cs="Arial"/>
          <w:iCs/>
          <w:sz w:val="20"/>
        </w:rPr>
      </w:pPr>
      <w:r w:rsidRPr="00067D45">
        <w:rPr>
          <w:rFonts w:cs="Arial"/>
          <w:i/>
          <w:iCs/>
          <w:sz w:val="20"/>
        </w:rPr>
        <w:t xml:space="preserve"> </w:t>
      </w:r>
    </w:p>
    <w:p w14:paraId="5664ABE7" w14:textId="77777777" w:rsidR="000978C2" w:rsidRPr="000C7CA3" w:rsidRDefault="00424954" w:rsidP="001E0142">
      <w:pPr>
        <w:pStyle w:val="SDMPDDPoASubSection1"/>
        <w:numPr>
          <w:ilvl w:val="1"/>
          <w:numId w:val="30"/>
        </w:numPr>
      </w:pPr>
      <w:bookmarkStart w:id="13" w:name="_Ref483331083"/>
      <w:r>
        <w:t xml:space="preserve">Establishment and </w:t>
      </w:r>
      <w:r w:rsidR="00A76316">
        <w:t>d</w:t>
      </w:r>
      <w:r w:rsidR="000978C2" w:rsidRPr="000C7CA3">
        <w:t>escription of baseline scenario</w:t>
      </w:r>
      <w:bookmarkEnd w:id="13"/>
    </w:p>
    <w:p w14:paraId="6F23930C" w14:textId="77777777" w:rsidR="005E608C" w:rsidRPr="000C7CA3" w:rsidRDefault="005E608C" w:rsidP="00DF3451">
      <w:pPr>
        <w:rPr>
          <w:rFonts w:cs="Arial"/>
          <w:lang w:eastAsia="en-US"/>
        </w:rPr>
      </w:pPr>
      <w:r w:rsidRPr="000C7CA3">
        <w:rPr>
          <w:rFonts w:cs="Arial"/>
          <w:lang w:eastAsia="en-US"/>
        </w:rPr>
        <w:t>&gt;&gt;</w:t>
      </w:r>
    </w:p>
    <w:p w14:paraId="42CD1883" w14:textId="77777777" w:rsidR="006D4FDF" w:rsidRDefault="006D4FDF" w:rsidP="006D4FDF">
      <w:pPr>
        <w:rPr>
          <w:rFonts w:cs="Arial"/>
        </w:rPr>
      </w:pPr>
      <w:r>
        <w:rPr>
          <w:rFonts w:cs="Arial"/>
        </w:rPr>
        <w:lastRenderedPageBreak/>
        <w:t>In Kenya, over ha</w:t>
      </w:r>
      <w:r w:rsidR="003342C3">
        <w:rPr>
          <w:rFonts w:cs="Arial"/>
        </w:rPr>
        <w:t>lf of the total population of 48</w:t>
      </w:r>
      <w:r>
        <w:rPr>
          <w:rFonts w:cs="Arial"/>
        </w:rPr>
        <w:t xml:space="preserve"> million</w:t>
      </w:r>
      <w:r w:rsidR="00555010">
        <w:rPr>
          <w:rStyle w:val="FootnoteReference"/>
          <w:rFonts w:cs="Arial"/>
        </w:rPr>
        <w:footnoteReference w:id="16"/>
      </w:r>
      <w:r w:rsidR="00555010">
        <w:rPr>
          <w:rFonts w:cs="Arial"/>
        </w:rPr>
        <w:t xml:space="preserve"> </w:t>
      </w:r>
      <w:r w:rsidR="003342C3">
        <w:rPr>
          <w:rFonts w:cs="Arial"/>
        </w:rPr>
        <w:t xml:space="preserve"> </w:t>
      </w:r>
      <w:r>
        <w:rPr>
          <w:rFonts w:cs="Arial"/>
        </w:rPr>
        <w:t>has no access to electricity</w:t>
      </w:r>
      <w:r w:rsidR="003342C3">
        <w:rPr>
          <w:rFonts w:cs="Arial"/>
        </w:rPr>
        <w:t>.</w:t>
      </w:r>
      <w:r w:rsidR="00555010">
        <w:rPr>
          <w:rStyle w:val="FootnoteReference"/>
          <w:rFonts w:cs="Arial"/>
        </w:rPr>
        <w:footnoteReference w:id="17"/>
      </w:r>
      <w:r>
        <w:rPr>
          <w:rFonts w:cs="Arial"/>
        </w:rPr>
        <w:t xml:space="preserve"> Most of the rural population almost completely depends on biomass, particularly non-renewable firewood for their daily energy consumption for cooking, boiling and heating. </w:t>
      </w:r>
    </w:p>
    <w:p w14:paraId="51323BD2" w14:textId="77777777" w:rsidR="006D4FDF" w:rsidRDefault="006D4FDF" w:rsidP="006D4FDF">
      <w:pPr>
        <w:rPr>
          <w:rFonts w:cs="Arial"/>
        </w:rPr>
      </w:pPr>
    </w:p>
    <w:p w14:paraId="0F2DC627" w14:textId="77777777" w:rsidR="006D4FDF" w:rsidRDefault="006D4FDF" w:rsidP="006D4FDF">
      <w:pPr>
        <w:rPr>
          <w:rFonts w:cs="Arial"/>
          <w:szCs w:val="22"/>
        </w:rPr>
      </w:pPr>
      <w:r>
        <w:rPr>
          <w:rFonts w:cs="Arial"/>
        </w:rPr>
        <w:t xml:space="preserve">To determine parameters </w:t>
      </w:r>
      <w:r>
        <w:rPr>
          <w:rFonts w:cs="Arial"/>
          <w:szCs w:val="22"/>
        </w:rPr>
        <w:t>BB</w:t>
      </w:r>
      <w:r>
        <w:rPr>
          <w:rFonts w:cs="Arial"/>
          <w:szCs w:val="22"/>
          <w:vertAlign w:val="subscript"/>
        </w:rPr>
        <w:t>b,fuel</w:t>
      </w:r>
      <w:r>
        <w:rPr>
          <w:rFonts w:cs="Arial"/>
          <w:szCs w:val="22"/>
        </w:rPr>
        <w:t xml:space="preserve"> and BB</w:t>
      </w:r>
      <w:r>
        <w:rPr>
          <w:rFonts w:cs="Arial"/>
          <w:szCs w:val="22"/>
          <w:vertAlign w:val="subscript"/>
        </w:rPr>
        <w:t>b,bio</w:t>
      </w:r>
      <w:r>
        <w:rPr>
          <w:rFonts w:cs="Arial"/>
        </w:rPr>
        <w:t>, this VPA applies Option 2</w:t>
      </w:r>
      <w:r w:rsidR="0007516F">
        <w:rPr>
          <w:rFonts w:cs="Arial"/>
        </w:rPr>
        <w:t xml:space="preserve"> of the methodology</w:t>
      </w:r>
      <w:r>
        <w:rPr>
          <w:rFonts w:cs="Arial"/>
        </w:rPr>
        <w:t xml:space="preserve">. </w:t>
      </w:r>
      <w:r>
        <w:rPr>
          <w:rFonts w:cs="Arial"/>
          <w:szCs w:val="22"/>
        </w:rPr>
        <w:t>Under Option 2, BB</w:t>
      </w:r>
      <w:r>
        <w:rPr>
          <w:rFonts w:cs="Arial"/>
          <w:szCs w:val="22"/>
          <w:vertAlign w:val="subscript"/>
        </w:rPr>
        <w:t>b,fuel</w:t>
      </w:r>
      <w:r>
        <w:rPr>
          <w:rFonts w:cs="Arial"/>
          <w:szCs w:val="22"/>
        </w:rPr>
        <w:t xml:space="preserve"> and BB</w:t>
      </w:r>
      <w:r>
        <w:rPr>
          <w:rFonts w:cs="Arial"/>
          <w:szCs w:val="22"/>
          <w:vertAlign w:val="subscript"/>
        </w:rPr>
        <w:t xml:space="preserve">b,bio </w:t>
      </w:r>
      <w:r>
        <w:rPr>
          <w:rFonts w:cs="Arial"/>
          <w:szCs w:val="22"/>
        </w:rPr>
        <w:t xml:space="preserve">shall be defined </w:t>
      </w:r>
      <w:r>
        <w:rPr>
          <w:rFonts w:cs="Arial"/>
          <w:i/>
          <w:szCs w:val="22"/>
        </w:rPr>
        <w:t>ex-ante</w:t>
      </w:r>
      <w:r>
        <w:rPr>
          <w:rFonts w:cs="Arial"/>
          <w:szCs w:val="22"/>
        </w:rPr>
        <w:t xml:space="preserve"> on the VPA level through Baseline Performance Field Tests (BFT) directly. As per the PoA-DD, a separate BFT needs to be conducted per identified baseline scenario.</w:t>
      </w:r>
    </w:p>
    <w:p w14:paraId="6A1777FE" w14:textId="77777777" w:rsidR="00064CEE" w:rsidRDefault="00064CEE" w:rsidP="004245A4">
      <w:pPr>
        <w:rPr>
          <w:rFonts w:cs="Arial"/>
          <w:lang w:eastAsia="en-US"/>
        </w:rPr>
      </w:pPr>
    </w:p>
    <w:p w14:paraId="21634376" w14:textId="77777777" w:rsidR="001255B3" w:rsidRPr="00E246BC" w:rsidRDefault="001255B3" w:rsidP="004245A4">
      <w:pPr>
        <w:rPr>
          <w:rFonts w:cs="Arial"/>
          <w:i/>
          <w:lang w:eastAsia="en-US"/>
        </w:rPr>
      </w:pPr>
      <w:r>
        <w:rPr>
          <w:rFonts w:cs="Arial"/>
          <w:i/>
          <w:lang w:eastAsia="en-US"/>
        </w:rPr>
        <w:t>Baseline ratios</w:t>
      </w:r>
    </w:p>
    <w:p w14:paraId="781FC6D4" w14:textId="77777777" w:rsidR="004245A4" w:rsidRDefault="001255B3" w:rsidP="004245A4">
      <w:pPr>
        <w:rPr>
          <w:rFonts w:cs="Arial"/>
          <w:lang w:eastAsia="en-US"/>
        </w:rPr>
      </w:pPr>
      <w:r>
        <w:rPr>
          <w:rFonts w:cs="Arial"/>
          <w:lang w:eastAsia="en-US"/>
        </w:rPr>
        <w:t>The baseline ratios are determined based on the most recent monitoring effort of VPA1, which is also located in Kenya. Monitoring was carried out in late 2016 by EcoFrontier.</w:t>
      </w:r>
      <w:r>
        <w:rPr>
          <w:rStyle w:val="FootnoteReference"/>
          <w:rFonts w:cs="Arial"/>
          <w:lang w:eastAsia="en-US"/>
        </w:rPr>
        <w:footnoteReference w:id="18"/>
      </w:r>
      <w:r>
        <w:rPr>
          <w:rFonts w:cs="Arial"/>
          <w:lang w:eastAsia="en-US"/>
        </w:rPr>
        <w:t xml:space="preserve"> </w:t>
      </w:r>
      <w:r w:rsidR="004245A4">
        <w:rPr>
          <w:rFonts w:cs="Arial"/>
          <w:lang w:eastAsia="en-US"/>
        </w:rPr>
        <w:t xml:space="preserve">The following Table illustrates the different baseline scenarios and their corresponding ratios, as per </w:t>
      </w:r>
      <w:r>
        <w:rPr>
          <w:rFonts w:cs="Arial"/>
          <w:lang w:eastAsia="en-US"/>
        </w:rPr>
        <w:t xml:space="preserve">the survey </w:t>
      </w:r>
      <w:r w:rsidR="004245A4">
        <w:rPr>
          <w:rFonts w:cs="Arial"/>
          <w:lang w:eastAsia="en-US"/>
        </w:rPr>
        <w:t xml:space="preserve">results. This will be updated annually as </w:t>
      </w:r>
      <w:r w:rsidR="00CB783F">
        <w:rPr>
          <w:rFonts w:cs="Arial"/>
          <w:lang w:eastAsia="en-US"/>
        </w:rPr>
        <w:t xml:space="preserve">part of the monitoring survey. </w:t>
      </w:r>
    </w:p>
    <w:p w14:paraId="761B9F5C" w14:textId="77777777" w:rsidR="004245A4" w:rsidRPr="004245A4" w:rsidRDefault="00B53A36" w:rsidP="00CB783F">
      <w:pPr>
        <w:pStyle w:val="Caption"/>
        <w:ind w:hanging="1956"/>
        <w:rPr>
          <w:rFonts w:cs="Arial"/>
          <w:i/>
          <w:iCs/>
        </w:rPr>
      </w:pPr>
      <w:r>
        <w:t xml:space="preserve">Table </w:t>
      </w:r>
      <w:r w:rsidR="00386F9E">
        <w:fldChar w:fldCharType="begin"/>
      </w:r>
      <w:r>
        <w:instrText xml:space="preserve"> SEQ Table \* ARABIC </w:instrText>
      </w:r>
      <w:r w:rsidR="00386F9E">
        <w:fldChar w:fldCharType="separate"/>
      </w:r>
      <w:r w:rsidR="00FE38F8">
        <w:rPr>
          <w:noProof/>
        </w:rPr>
        <w:t>4</w:t>
      </w:r>
      <w:r w:rsidR="00386F9E">
        <w:fldChar w:fldCharType="end"/>
      </w:r>
      <w:r>
        <w:t xml:space="preserve"> </w:t>
      </w:r>
      <w:r w:rsidR="004245A4" w:rsidRPr="00CB783F">
        <w:rPr>
          <w:rFonts w:cs="Arial"/>
          <w:b w:val="0"/>
          <w:i/>
          <w:iCs/>
        </w:rPr>
        <w:t>Type of baseline scenarios and distribution per identified baseline scenario</w:t>
      </w:r>
      <w:r w:rsidR="00435137" w:rsidRPr="00CB783F">
        <w:rPr>
          <w:rStyle w:val="FootnoteReference"/>
          <w:rFonts w:cs="Arial"/>
          <w:b w:val="0"/>
          <w:i/>
          <w:iCs/>
        </w:rPr>
        <w:footnoteReference w:id="19"/>
      </w:r>
    </w:p>
    <w:tbl>
      <w:tblPr>
        <w:tblpPr w:leftFromText="180" w:rightFromText="180" w:vertAnchor="text" w:horzAnchor="margin"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987"/>
        <w:gridCol w:w="3276"/>
      </w:tblGrid>
      <w:tr w:rsidR="00435137" w:rsidRPr="001E0142" w14:paraId="0D6D40EF" w14:textId="77777777" w:rsidTr="00E246BC">
        <w:tc>
          <w:tcPr>
            <w:tcW w:w="1748" w:type="pct"/>
            <w:tcBorders>
              <w:top w:val="single" w:sz="4" w:space="0" w:color="auto"/>
              <w:left w:val="single" w:sz="4" w:space="0" w:color="auto"/>
              <w:bottom w:val="single" w:sz="4" w:space="0" w:color="auto"/>
              <w:right w:val="single" w:sz="4" w:space="0" w:color="auto"/>
            </w:tcBorders>
            <w:shd w:val="clear" w:color="auto" w:fill="auto"/>
            <w:hideMark/>
          </w:tcPr>
          <w:p w14:paraId="1CBD7F70" w14:textId="77777777" w:rsidR="00435137" w:rsidRPr="001E0142" w:rsidRDefault="00435137" w:rsidP="004245A4">
            <w:pPr>
              <w:rPr>
                <w:rFonts w:cs="Arial"/>
                <w:b/>
                <w:sz w:val="20"/>
                <w:szCs w:val="22"/>
              </w:rPr>
            </w:pPr>
            <w:r w:rsidRPr="001E0142">
              <w:rPr>
                <w:rFonts w:cs="Arial"/>
                <w:b/>
                <w:sz w:val="20"/>
                <w:szCs w:val="22"/>
              </w:rPr>
              <w:t>Baseline scenario</w:t>
            </w:r>
          </w:p>
        </w:tc>
        <w:tc>
          <w:tcPr>
            <w:tcW w:w="1551" w:type="pct"/>
            <w:tcBorders>
              <w:top w:val="single" w:sz="4" w:space="0" w:color="auto"/>
              <w:left w:val="single" w:sz="4" w:space="0" w:color="auto"/>
              <w:bottom w:val="single" w:sz="4" w:space="0" w:color="auto"/>
              <w:right w:val="single" w:sz="4" w:space="0" w:color="auto"/>
            </w:tcBorders>
            <w:shd w:val="clear" w:color="auto" w:fill="auto"/>
            <w:hideMark/>
          </w:tcPr>
          <w:p w14:paraId="2CCEBEA2" w14:textId="77777777" w:rsidR="00435137" w:rsidRPr="001E0142" w:rsidRDefault="00435137" w:rsidP="004245A4">
            <w:pPr>
              <w:rPr>
                <w:rFonts w:cs="Arial"/>
                <w:b/>
                <w:sz w:val="20"/>
                <w:szCs w:val="22"/>
              </w:rPr>
            </w:pPr>
            <w:r w:rsidRPr="001E0142">
              <w:rPr>
                <w:rFonts w:cs="Arial"/>
                <w:b/>
                <w:sz w:val="20"/>
                <w:szCs w:val="22"/>
              </w:rPr>
              <w:t>Parameter</w:t>
            </w:r>
          </w:p>
        </w:tc>
        <w:tc>
          <w:tcPr>
            <w:tcW w:w="1701" w:type="pct"/>
            <w:tcBorders>
              <w:top w:val="single" w:sz="4" w:space="0" w:color="auto"/>
              <w:left w:val="single" w:sz="4" w:space="0" w:color="auto"/>
              <w:bottom w:val="single" w:sz="4" w:space="0" w:color="auto"/>
              <w:right w:val="single" w:sz="4" w:space="0" w:color="auto"/>
            </w:tcBorders>
            <w:shd w:val="clear" w:color="auto" w:fill="auto"/>
            <w:hideMark/>
          </w:tcPr>
          <w:p w14:paraId="1274299E" w14:textId="77777777" w:rsidR="00435137" w:rsidRPr="001E0142" w:rsidRDefault="00435137" w:rsidP="004245A4">
            <w:pPr>
              <w:rPr>
                <w:rFonts w:cs="Arial"/>
                <w:b/>
                <w:sz w:val="20"/>
                <w:szCs w:val="22"/>
              </w:rPr>
            </w:pPr>
            <w:r>
              <w:rPr>
                <w:rFonts w:cs="Arial"/>
                <w:b/>
                <w:sz w:val="20"/>
                <w:szCs w:val="22"/>
              </w:rPr>
              <w:t xml:space="preserve">BFT </w:t>
            </w:r>
            <w:r w:rsidRPr="001E0142">
              <w:rPr>
                <w:rFonts w:cs="Arial"/>
                <w:b/>
                <w:sz w:val="20"/>
                <w:szCs w:val="22"/>
              </w:rPr>
              <w:t>results (%)</w:t>
            </w:r>
          </w:p>
        </w:tc>
      </w:tr>
      <w:tr w:rsidR="00435137" w:rsidRPr="001E0142" w14:paraId="042FF439" w14:textId="77777777" w:rsidTr="00E246BC">
        <w:tc>
          <w:tcPr>
            <w:tcW w:w="1748" w:type="pct"/>
            <w:tcBorders>
              <w:top w:val="single" w:sz="4" w:space="0" w:color="auto"/>
              <w:left w:val="single" w:sz="4" w:space="0" w:color="auto"/>
              <w:bottom w:val="single" w:sz="4" w:space="0" w:color="auto"/>
              <w:right w:val="single" w:sz="4" w:space="0" w:color="auto"/>
            </w:tcBorders>
            <w:shd w:val="clear" w:color="auto" w:fill="auto"/>
            <w:hideMark/>
          </w:tcPr>
          <w:p w14:paraId="3360BC95" w14:textId="77777777" w:rsidR="00435137" w:rsidRPr="001E0142" w:rsidRDefault="00435137" w:rsidP="003342C3">
            <w:pPr>
              <w:jc w:val="left"/>
              <w:rPr>
                <w:rFonts w:cs="Arial"/>
                <w:sz w:val="20"/>
                <w:szCs w:val="22"/>
              </w:rPr>
            </w:pPr>
            <w:r w:rsidRPr="001E0142">
              <w:rPr>
                <w:rFonts w:cs="Arial"/>
                <w:sz w:val="20"/>
                <w:szCs w:val="22"/>
              </w:rPr>
              <w:t>Households using firewood only</w:t>
            </w:r>
          </w:p>
        </w:tc>
        <w:tc>
          <w:tcPr>
            <w:tcW w:w="1551" w:type="pct"/>
            <w:tcBorders>
              <w:top w:val="single" w:sz="4" w:space="0" w:color="auto"/>
              <w:left w:val="single" w:sz="4" w:space="0" w:color="auto"/>
              <w:bottom w:val="single" w:sz="4" w:space="0" w:color="auto"/>
              <w:right w:val="single" w:sz="4" w:space="0" w:color="auto"/>
            </w:tcBorders>
            <w:shd w:val="clear" w:color="auto" w:fill="auto"/>
            <w:hideMark/>
          </w:tcPr>
          <w:p w14:paraId="212F7CF8" w14:textId="77777777" w:rsidR="00435137" w:rsidRPr="001E0142" w:rsidRDefault="001255B3" w:rsidP="001255B3">
            <w:pPr>
              <w:rPr>
                <w:rFonts w:cs="Arial"/>
                <w:sz w:val="20"/>
                <w:szCs w:val="22"/>
              </w:rPr>
            </w:pPr>
            <w:r>
              <w:rPr>
                <w:rFonts w:cs="Arial"/>
                <w:lang w:eastAsia="ar-SA"/>
              </w:rPr>
              <w:t>BB</w:t>
            </w:r>
            <w:r w:rsidRPr="000C01DD">
              <w:rPr>
                <w:rFonts w:cs="Arial"/>
                <w:vertAlign w:val="subscript"/>
                <w:lang w:eastAsia="ar-SA"/>
              </w:rPr>
              <w:t>b</w:t>
            </w:r>
            <w:r>
              <w:rPr>
                <w:rFonts w:cs="Arial"/>
                <w:vertAlign w:val="subscript"/>
                <w:lang w:eastAsia="ar-SA"/>
              </w:rPr>
              <w:t>1</w:t>
            </w:r>
            <w:r w:rsidRPr="000C01DD">
              <w:rPr>
                <w:rFonts w:cs="Arial"/>
                <w:vertAlign w:val="subscript"/>
                <w:lang w:eastAsia="ar-SA"/>
              </w:rPr>
              <w:t>,ratio</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35D9EB98" w14:textId="77777777" w:rsidR="00435137" w:rsidRPr="001E0142" w:rsidRDefault="00435137" w:rsidP="004245A4">
            <w:pPr>
              <w:rPr>
                <w:rFonts w:cs="Arial"/>
                <w:sz w:val="20"/>
                <w:szCs w:val="22"/>
              </w:rPr>
            </w:pPr>
            <w:r>
              <w:rPr>
                <w:rFonts w:cs="Arial"/>
                <w:sz w:val="20"/>
                <w:szCs w:val="22"/>
              </w:rPr>
              <w:t>53.3%</w:t>
            </w:r>
          </w:p>
        </w:tc>
      </w:tr>
      <w:tr w:rsidR="00435137" w:rsidRPr="001E0142" w14:paraId="35A577A5" w14:textId="77777777" w:rsidTr="00E246BC">
        <w:tc>
          <w:tcPr>
            <w:tcW w:w="1748" w:type="pct"/>
            <w:tcBorders>
              <w:top w:val="single" w:sz="4" w:space="0" w:color="auto"/>
              <w:left w:val="single" w:sz="4" w:space="0" w:color="auto"/>
              <w:bottom w:val="single" w:sz="4" w:space="0" w:color="auto"/>
              <w:right w:val="single" w:sz="4" w:space="0" w:color="auto"/>
            </w:tcBorders>
            <w:shd w:val="clear" w:color="auto" w:fill="auto"/>
            <w:hideMark/>
          </w:tcPr>
          <w:p w14:paraId="3EB8E58E" w14:textId="77777777" w:rsidR="00435137" w:rsidRPr="001E0142" w:rsidRDefault="00435137" w:rsidP="003342C3">
            <w:pPr>
              <w:jc w:val="left"/>
              <w:rPr>
                <w:rFonts w:cs="Arial"/>
                <w:sz w:val="20"/>
                <w:szCs w:val="22"/>
              </w:rPr>
            </w:pPr>
            <w:r w:rsidRPr="001E0142">
              <w:rPr>
                <w:rFonts w:cs="Arial"/>
                <w:sz w:val="20"/>
                <w:szCs w:val="22"/>
              </w:rPr>
              <w:t>Households using charcoal only</w:t>
            </w:r>
          </w:p>
        </w:tc>
        <w:tc>
          <w:tcPr>
            <w:tcW w:w="1551" w:type="pct"/>
            <w:tcBorders>
              <w:top w:val="single" w:sz="4" w:space="0" w:color="auto"/>
              <w:left w:val="single" w:sz="4" w:space="0" w:color="auto"/>
              <w:bottom w:val="single" w:sz="4" w:space="0" w:color="auto"/>
              <w:right w:val="single" w:sz="4" w:space="0" w:color="auto"/>
            </w:tcBorders>
            <w:shd w:val="clear" w:color="auto" w:fill="auto"/>
            <w:hideMark/>
          </w:tcPr>
          <w:p w14:paraId="564B50ED" w14:textId="77777777" w:rsidR="00435137" w:rsidRPr="001E0142" w:rsidRDefault="001255B3" w:rsidP="004245A4">
            <w:pPr>
              <w:rPr>
                <w:rFonts w:cs="Arial"/>
                <w:sz w:val="20"/>
                <w:szCs w:val="22"/>
              </w:rPr>
            </w:pPr>
            <w:r>
              <w:rPr>
                <w:rFonts w:cs="Arial"/>
                <w:lang w:eastAsia="ar-SA"/>
              </w:rPr>
              <w:t>BB</w:t>
            </w:r>
            <w:r>
              <w:rPr>
                <w:rFonts w:cs="Arial"/>
                <w:vertAlign w:val="subscript"/>
                <w:lang w:eastAsia="ar-SA"/>
              </w:rPr>
              <w:t>b2</w:t>
            </w:r>
            <w:r w:rsidRPr="000C01DD">
              <w:rPr>
                <w:rFonts w:cs="Arial"/>
                <w:vertAlign w:val="subscript"/>
                <w:lang w:eastAsia="ar-SA"/>
              </w:rPr>
              <w:t>,ratio</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226C73DC" w14:textId="77777777" w:rsidR="00435137" w:rsidRPr="00E246BC" w:rsidRDefault="00435137" w:rsidP="004245A4">
            <w:pPr>
              <w:rPr>
                <w:rFonts w:cs="Arial"/>
                <w:sz w:val="20"/>
                <w:szCs w:val="22"/>
              </w:rPr>
            </w:pPr>
            <w:r w:rsidRPr="00E246BC">
              <w:rPr>
                <w:rFonts w:cs="Arial"/>
                <w:sz w:val="20"/>
                <w:szCs w:val="22"/>
              </w:rPr>
              <w:t>13.3%</w:t>
            </w:r>
          </w:p>
        </w:tc>
      </w:tr>
      <w:tr w:rsidR="00435137" w:rsidRPr="001E0142" w14:paraId="5D28A1CD" w14:textId="77777777" w:rsidTr="00E246BC">
        <w:tc>
          <w:tcPr>
            <w:tcW w:w="1748" w:type="pct"/>
            <w:tcBorders>
              <w:top w:val="single" w:sz="4" w:space="0" w:color="auto"/>
              <w:left w:val="single" w:sz="4" w:space="0" w:color="auto"/>
              <w:bottom w:val="single" w:sz="4" w:space="0" w:color="auto"/>
              <w:right w:val="single" w:sz="4" w:space="0" w:color="auto"/>
            </w:tcBorders>
            <w:shd w:val="clear" w:color="auto" w:fill="auto"/>
            <w:hideMark/>
          </w:tcPr>
          <w:p w14:paraId="27EBBBAD" w14:textId="77777777" w:rsidR="00435137" w:rsidRPr="001E0142" w:rsidRDefault="00435137" w:rsidP="003342C3">
            <w:pPr>
              <w:jc w:val="left"/>
              <w:rPr>
                <w:rFonts w:cs="Arial"/>
                <w:sz w:val="20"/>
                <w:szCs w:val="22"/>
              </w:rPr>
            </w:pPr>
            <w:r w:rsidRPr="001E0142">
              <w:rPr>
                <w:rFonts w:cs="Arial"/>
                <w:sz w:val="20"/>
                <w:szCs w:val="22"/>
              </w:rPr>
              <w:t>Households using firewood + charcoal</w:t>
            </w:r>
          </w:p>
        </w:tc>
        <w:tc>
          <w:tcPr>
            <w:tcW w:w="1551" w:type="pct"/>
            <w:tcBorders>
              <w:top w:val="single" w:sz="4" w:space="0" w:color="auto"/>
              <w:left w:val="single" w:sz="4" w:space="0" w:color="auto"/>
              <w:bottom w:val="single" w:sz="4" w:space="0" w:color="auto"/>
              <w:right w:val="single" w:sz="4" w:space="0" w:color="auto"/>
            </w:tcBorders>
            <w:shd w:val="clear" w:color="auto" w:fill="auto"/>
            <w:hideMark/>
          </w:tcPr>
          <w:p w14:paraId="198BA14F" w14:textId="77777777" w:rsidR="00435137" w:rsidRPr="001E0142" w:rsidRDefault="001255B3" w:rsidP="004245A4">
            <w:pPr>
              <w:rPr>
                <w:rFonts w:cs="Arial"/>
                <w:sz w:val="20"/>
                <w:szCs w:val="22"/>
              </w:rPr>
            </w:pPr>
            <w:r>
              <w:rPr>
                <w:rFonts w:cs="Arial"/>
                <w:lang w:eastAsia="ar-SA"/>
              </w:rPr>
              <w:t>BB</w:t>
            </w:r>
            <w:r>
              <w:rPr>
                <w:rFonts w:cs="Arial"/>
                <w:vertAlign w:val="subscript"/>
                <w:lang w:eastAsia="ar-SA"/>
              </w:rPr>
              <w:t>b3</w:t>
            </w:r>
            <w:r w:rsidRPr="000C01DD">
              <w:rPr>
                <w:rFonts w:cs="Arial"/>
                <w:vertAlign w:val="subscript"/>
                <w:lang w:eastAsia="ar-SA"/>
              </w:rPr>
              <w:t>,ratio</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1CB815CA" w14:textId="77777777" w:rsidR="00435137" w:rsidRPr="00E246BC" w:rsidRDefault="00435137" w:rsidP="004245A4">
            <w:pPr>
              <w:rPr>
                <w:rFonts w:cs="Arial"/>
                <w:sz w:val="20"/>
                <w:szCs w:val="22"/>
              </w:rPr>
            </w:pPr>
            <w:r w:rsidRPr="00E246BC">
              <w:rPr>
                <w:rFonts w:cs="Arial"/>
                <w:sz w:val="20"/>
                <w:szCs w:val="22"/>
              </w:rPr>
              <w:t>26.7%</w:t>
            </w:r>
          </w:p>
        </w:tc>
      </w:tr>
      <w:tr w:rsidR="00435137" w:rsidRPr="001E0142" w14:paraId="0C7D7C4B" w14:textId="77777777" w:rsidTr="00E246BC">
        <w:tc>
          <w:tcPr>
            <w:tcW w:w="1748" w:type="pct"/>
            <w:tcBorders>
              <w:top w:val="single" w:sz="4" w:space="0" w:color="auto"/>
              <w:left w:val="single" w:sz="4" w:space="0" w:color="auto"/>
              <w:bottom w:val="single" w:sz="4" w:space="0" w:color="auto"/>
              <w:right w:val="single" w:sz="4" w:space="0" w:color="auto"/>
            </w:tcBorders>
            <w:shd w:val="clear" w:color="auto" w:fill="auto"/>
            <w:hideMark/>
          </w:tcPr>
          <w:p w14:paraId="7AD410E2" w14:textId="77777777" w:rsidR="00435137" w:rsidRPr="001E0142" w:rsidRDefault="00435137" w:rsidP="003342C3">
            <w:pPr>
              <w:jc w:val="left"/>
              <w:rPr>
                <w:rFonts w:cs="Arial"/>
                <w:sz w:val="20"/>
                <w:szCs w:val="22"/>
              </w:rPr>
            </w:pPr>
            <w:r w:rsidRPr="001E0142">
              <w:rPr>
                <w:rFonts w:cs="Arial"/>
                <w:sz w:val="20"/>
                <w:szCs w:val="22"/>
              </w:rPr>
              <w:t>Others (excluded for conservativeness)</w:t>
            </w:r>
          </w:p>
        </w:tc>
        <w:tc>
          <w:tcPr>
            <w:tcW w:w="1551" w:type="pct"/>
            <w:tcBorders>
              <w:top w:val="single" w:sz="4" w:space="0" w:color="auto"/>
              <w:left w:val="single" w:sz="4" w:space="0" w:color="auto"/>
              <w:bottom w:val="single" w:sz="4" w:space="0" w:color="auto"/>
              <w:right w:val="single" w:sz="4" w:space="0" w:color="auto"/>
            </w:tcBorders>
            <w:shd w:val="clear" w:color="auto" w:fill="auto"/>
            <w:hideMark/>
          </w:tcPr>
          <w:p w14:paraId="34989F05" w14:textId="77777777" w:rsidR="00435137" w:rsidRPr="001E0142" w:rsidRDefault="00435137" w:rsidP="004245A4">
            <w:pPr>
              <w:rPr>
                <w:rFonts w:cs="Arial"/>
                <w:sz w:val="20"/>
                <w:szCs w:val="22"/>
              </w:rPr>
            </w:pPr>
            <w:r w:rsidRPr="001E0142">
              <w:rPr>
                <w:rFonts w:cs="Arial"/>
                <w:sz w:val="20"/>
                <w:szCs w:val="22"/>
              </w:rPr>
              <w:t>n/a</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5E195277" w14:textId="77777777" w:rsidR="00435137" w:rsidRPr="00E246BC" w:rsidRDefault="00435137" w:rsidP="004245A4">
            <w:pPr>
              <w:rPr>
                <w:rFonts w:cs="Arial"/>
                <w:sz w:val="20"/>
                <w:szCs w:val="22"/>
              </w:rPr>
            </w:pPr>
            <w:r w:rsidRPr="00E246BC">
              <w:rPr>
                <w:rFonts w:cs="Arial"/>
                <w:sz w:val="20"/>
                <w:szCs w:val="22"/>
              </w:rPr>
              <w:t>6.7%</w:t>
            </w:r>
          </w:p>
        </w:tc>
      </w:tr>
    </w:tbl>
    <w:p w14:paraId="451613A6" w14:textId="77777777" w:rsidR="006D4FDF" w:rsidRDefault="006D4FDF" w:rsidP="006D4FDF">
      <w:pPr>
        <w:rPr>
          <w:rFonts w:cs="Arial"/>
        </w:rPr>
      </w:pPr>
    </w:p>
    <w:p w14:paraId="7AFCAF4D" w14:textId="77777777" w:rsidR="0007516F" w:rsidRDefault="001255B3" w:rsidP="00DF3451">
      <w:pPr>
        <w:rPr>
          <w:rFonts w:cs="Arial"/>
          <w:lang w:eastAsia="en-US"/>
        </w:rPr>
      </w:pPr>
      <w:r>
        <w:rPr>
          <w:rFonts w:cs="Arial"/>
          <w:i/>
          <w:lang w:eastAsia="en-US"/>
        </w:rPr>
        <w:t>Baseline Fuel Tests (BFT)</w:t>
      </w:r>
    </w:p>
    <w:p w14:paraId="4ADE21AC" w14:textId="77777777" w:rsidR="001255B3" w:rsidRPr="00984718" w:rsidRDefault="004245A4" w:rsidP="00DF3451">
      <w:pPr>
        <w:rPr>
          <w:szCs w:val="22"/>
          <w:lang w:val="en-US"/>
        </w:rPr>
      </w:pPr>
      <w:r w:rsidRPr="007644EB">
        <w:rPr>
          <w:szCs w:val="22"/>
          <w:lang w:val="en-US"/>
        </w:rPr>
        <w:t xml:space="preserve">The </w:t>
      </w:r>
      <w:r>
        <w:rPr>
          <w:szCs w:val="22"/>
          <w:lang w:val="en-US"/>
        </w:rPr>
        <w:t xml:space="preserve">BFTs </w:t>
      </w:r>
      <w:r w:rsidRPr="007644EB">
        <w:rPr>
          <w:szCs w:val="22"/>
          <w:lang w:val="en-US"/>
        </w:rPr>
        <w:t xml:space="preserve">measure real, observed </w:t>
      </w:r>
      <w:r w:rsidR="001255B3">
        <w:rPr>
          <w:szCs w:val="22"/>
          <w:lang w:val="en-US"/>
        </w:rPr>
        <w:t xml:space="preserve">fuel usage within the baseline via a Kitchen Performance Test (KPT).  </w:t>
      </w:r>
      <w:r w:rsidRPr="007644EB">
        <w:rPr>
          <w:lang w:val="en-US"/>
        </w:rPr>
        <w:t xml:space="preserve">Consumption </w:t>
      </w:r>
      <w:r>
        <w:rPr>
          <w:lang w:val="en-US"/>
        </w:rPr>
        <w:t>of fuels was</w:t>
      </w:r>
      <w:r w:rsidRPr="007644EB">
        <w:rPr>
          <w:lang w:val="en-US"/>
        </w:rPr>
        <w:t xml:space="preserve"> measured with a representative sample of end users under </w:t>
      </w:r>
      <w:r>
        <w:rPr>
          <w:lang w:val="en-US"/>
        </w:rPr>
        <w:t>the</w:t>
      </w:r>
      <w:r w:rsidRPr="007644EB">
        <w:rPr>
          <w:lang w:val="en-US"/>
        </w:rPr>
        <w:t xml:space="preserve"> defined </w:t>
      </w:r>
      <w:r>
        <w:rPr>
          <w:lang w:val="en-US"/>
        </w:rPr>
        <w:t xml:space="preserve">three </w:t>
      </w:r>
      <w:r w:rsidRPr="007644EB">
        <w:rPr>
          <w:lang w:val="en-US"/>
        </w:rPr>
        <w:t>baseline scenario</w:t>
      </w:r>
      <w:r>
        <w:rPr>
          <w:lang w:val="en-US"/>
        </w:rPr>
        <w:t>s</w:t>
      </w:r>
      <w:r w:rsidRPr="007644EB">
        <w:rPr>
          <w:lang w:val="en-US"/>
        </w:rPr>
        <w:t xml:space="preserve"> in the absence of the project technology</w:t>
      </w:r>
      <w:r>
        <w:rPr>
          <w:lang w:val="en-US"/>
        </w:rPr>
        <w:t xml:space="preserve"> (</w:t>
      </w:r>
      <w:r w:rsidRPr="00FF696E">
        <w:rPr>
          <w:rFonts w:cs="Arial"/>
          <w:sz w:val="20"/>
          <w:szCs w:val="22"/>
        </w:rPr>
        <w:t>BB</w:t>
      </w:r>
      <w:r w:rsidRPr="00FF696E">
        <w:rPr>
          <w:rFonts w:cs="Arial"/>
          <w:sz w:val="20"/>
          <w:szCs w:val="22"/>
          <w:vertAlign w:val="subscript"/>
        </w:rPr>
        <w:t>b1,bio</w:t>
      </w:r>
      <w:r>
        <w:rPr>
          <w:rFonts w:cs="Arial"/>
          <w:sz w:val="20"/>
          <w:szCs w:val="22"/>
          <w:vertAlign w:val="subscript"/>
        </w:rPr>
        <w:t xml:space="preserve">, </w:t>
      </w:r>
      <w:r w:rsidRPr="006745E1">
        <w:rPr>
          <w:rFonts w:cs="Arial"/>
          <w:sz w:val="20"/>
          <w:szCs w:val="22"/>
        </w:rPr>
        <w:t>BB</w:t>
      </w:r>
      <w:r>
        <w:rPr>
          <w:rFonts w:cs="Arial"/>
          <w:sz w:val="20"/>
          <w:szCs w:val="22"/>
          <w:vertAlign w:val="subscript"/>
        </w:rPr>
        <w:t>b2</w:t>
      </w:r>
      <w:r w:rsidRPr="001D504E">
        <w:rPr>
          <w:rFonts w:cs="Arial"/>
          <w:sz w:val="20"/>
          <w:szCs w:val="22"/>
          <w:vertAlign w:val="subscript"/>
        </w:rPr>
        <w:t>,bio</w:t>
      </w:r>
      <w:r>
        <w:rPr>
          <w:lang w:val="en-US"/>
        </w:rPr>
        <w:t xml:space="preserve"> and </w:t>
      </w:r>
      <w:r w:rsidRPr="00FF696E">
        <w:rPr>
          <w:rFonts w:cs="Arial"/>
          <w:sz w:val="20"/>
          <w:szCs w:val="22"/>
        </w:rPr>
        <w:t>BB</w:t>
      </w:r>
      <w:r w:rsidRPr="00FF696E">
        <w:rPr>
          <w:rFonts w:cs="Arial"/>
          <w:sz w:val="20"/>
          <w:szCs w:val="22"/>
          <w:vertAlign w:val="subscript"/>
        </w:rPr>
        <w:t>b</w:t>
      </w:r>
      <w:r>
        <w:rPr>
          <w:rFonts w:cs="Arial"/>
          <w:sz w:val="20"/>
          <w:szCs w:val="22"/>
          <w:vertAlign w:val="subscript"/>
        </w:rPr>
        <w:t>3</w:t>
      </w:r>
      <w:r w:rsidRPr="00FF696E">
        <w:rPr>
          <w:rFonts w:cs="Arial"/>
          <w:sz w:val="20"/>
          <w:szCs w:val="22"/>
          <w:vertAlign w:val="subscript"/>
        </w:rPr>
        <w:t>,bio</w:t>
      </w:r>
      <w:r>
        <w:rPr>
          <w:lang w:val="en-US"/>
        </w:rPr>
        <w:t xml:space="preserve">). </w:t>
      </w:r>
      <w:r w:rsidR="00356527" w:rsidRPr="00A7165A">
        <w:rPr>
          <w:rFonts w:cs="Arial"/>
          <w:sz w:val="20"/>
        </w:rPr>
        <w:t>BB</w:t>
      </w:r>
      <w:r w:rsidR="00356527" w:rsidRPr="00A7165A">
        <w:rPr>
          <w:rFonts w:cs="Arial"/>
          <w:sz w:val="20"/>
          <w:vertAlign w:val="subscript"/>
        </w:rPr>
        <w:t>b1,bio</w:t>
      </w:r>
      <w:r w:rsidR="00356527">
        <w:rPr>
          <w:rFonts w:cs="Arial"/>
          <w:sz w:val="20"/>
          <w:vertAlign w:val="subscript"/>
        </w:rPr>
        <w:t xml:space="preserve"> </w:t>
      </w:r>
      <w:r w:rsidR="00356527" w:rsidRPr="00E246BC">
        <w:rPr>
          <w:rFonts w:cs="Arial"/>
        </w:rPr>
        <w:t xml:space="preserve">is established based on the BFT carried out in late 2014 at inclusion of VPA1 (GS 2750). </w:t>
      </w:r>
      <w:r w:rsidR="00356527" w:rsidRPr="00A7165A">
        <w:rPr>
          <w:rFonts w:cs="Arial"/>
          <w:sz w:val="20"/>
        </w:rPr>
        <w:t>BB</w:t>
      </w:r>
      <w:r w:rsidR="00356527">
        <w:rPr>
          <w:rFonts w:cs="Arial"/>
          <w:sz w:val="20"/>
          <w:vertAlign w:val="subscript"/>
        </w:rPr>
        <w:t>b2</w:t>
      </w:r>
      <w:r w:rsidR="00356527" w:rsidRPr="00A7165A">
        <w:rPr>
          <w:rFonts w:cs="Arial"/>
          <w:sz w:val="20"/>
          <w:vertAlign w:val="subscript"/>
        </w:rPr>
        <w:t>,bio</w:t>
      </w:r>
      <w:r w:rsidR="00356527">
        <w:rPr>
          <w:rFonts w:cs="Arial"/>
          <w:sz w:val="20"/>
          <w:vertAlign w:val="subscript"/>
        </w:rPr>
        <w:t xml:space="preserve"> </w:t>
      </w:r>
      <w:r w:rsidR="00356527" w:rsidRPr="00E246BC">
        <w:rPr>
          <w:rFonts w:cs="Arial"/>
        </w:rPr>
        <w:t xml:space="preserve">and </w:t>
      </w:r>
      <w:r w:rsidR="00356527" w:rsidRPr="00A7165A">
        <w:rPr>
          <w:rFonts w:cs="Arial"/>
          <w:sz w:val="20"/>
        </w:rPr>
        <w:t>BB</w:t>
      </w:r>
      <w:r w:rsidR="00356527">
        <w:rPr>
          <w:rFonts w:cs="Arial"/>
          <w:sz w:val="20"/>
          <w:vertAlign w:val="subscript"/>
        </w:rPr>
        <w:t>b3</w:t>
      </w:r>
      <w:r w:rsidR="00356527" w:rsidRPr="00A7165A">
        <w:rPr>
          <w:rFonts w:cs="Arial"/>
          <w:sz w:val="20"/>
          <w:vertAlign w:val="subscript"/>
        </w:rPr>
        <w:t>,bio</w:t>
      </w:r>
      <w:r w:rsidR="00356527">
        <w:rPr>
          <w:rFonts w:cs="Arial"/>
          <w:sz w:val="20"/>
          <w:vertAlign w:val="subscript"/>
        </w:rPr>
        <w:t xml:space="preserve"> </w:t>
      </w:r>
      <w:r w:rsidR="00356527" w:rsidRPr="00E246BC">
        <w:rPr>
          <w:rFonts w:cs="Arial"/>
          <w:szCs w:val="22"/>
        </w:rPr>
        <w:t xml:space="preserve">is established based on the BFT carried out in late 2016 during the second monitoring of VPA1. </w:t>
      </w:r>
    </w:p>
    <w:p w14:paraId="46BE9156" w14:textId="77777777" w:rsidR="005E608C" w:rsidRPr="00984718" w:rsidRDefault="005E608C" w:rsidP="00DF3451">
      <w:pPr>
        <w:rPr>
          <w:szCs w:val="22"/>
        </w:rPr>
      </w:pPr>
    </w:p>
    <w:p w14:paraId="17DA5F85" w14:textId="77777777" w:rsidR="00050A04" w:rsidRDefault="004245A4" w:rsidP="00DF3451">
      <w:r>
        <w:t xml:space="preserve">The BFTs randomly selected households from the project database to take part in the BFT. The surveyed households were identified as having a similar social and economic status </w:t>
      </w:r>
      <w:r w:rsidR="0007516F">
        <w:t>as their neighbours that possess</w:t>
      </w:r>
      <w:r>
        <w:t xml:space="preserve"> bio</w:t>
      </w:r>
      <w:r w:rsidR="0007516F">
        <w:t xml:space="preserve"> </w:t>
      </w:r>
      <w:r>
        <w:t xml:space="preserve">digesters, therefore making for a realistic baseline scenario. </w:t>
      </w:r>
      <w:r w:rsidR="00356527">
        <w:t xml:space="preserve">To establish the baseline fuels used, </w:t>
      </w:r>
      <w:r w:rsidR="00050A04">
        <w:t>a questionnaire based on the Berkeley Air Kitchen Performance test questionnaire</w:t>
      </w:r>
      <w:r w:rsidR="00356527">
        <w:t xml:space="preserve"> was used</w:t>
      </w:r>
      <w:r w:rsidR="00050A04">
        <w:t>. This document is also referenced in the applied TPDDTEC methodology. For all three BFTs, calibration of the applied weights was done with the comparison of traditional weighing scale. The scales were also compared to each other and all weighing scales were found accurate.</w:t>
      </w:r>
      <w:r w:rsidR="00050A04" w:rsidRPr="00050A04">
        <w:t xml:space="preserve"> </w:t>
      </w:r>
      <w:r w:rsidR="00050A04">
        <w:t>Amongst other things, the households were asked to report on their baseline biomass and fossil fuel consumption rates</w:t>
      </w:r>
      <w:r w:rsidR="00356527">
        <w:t xml:space="preserve"> over the</w:t>
      </w:r>
      <w:r w:rsidR="00050A04">
        <w:t xml:space="preserve"> measurement campaign. Outliers were excluded using the Grubb’s test.</w:t>
      </w:r>
      <w:r w:rsidR="00050A04">
        <w:rPr>
          <w:rStyle w:val="FootnoteReference"/>
        </w:rPr>
        <w:footnoteReference w:id="20"/>
      </w:r>
    </w:p>
    <w:p w14:paraId="2F8F2B89" w14:textId="77777777" w:rsidR="00050A04" w:rsidRDefault="00050A04" w:rsidP="00DF3451"/>
    <w:p w14:paraId="228605C8" w14:textId="77777777" w:rsidR="00BD0DCB" w:rsidRPr="00CB783F" w:rsidRDefault="00BD0DCB" w:rsidP="00DF3451">
      <w:pPr>
        <w:rPr>
          <w:rFonts w:cs="Arial"/>
        </w:rPr>
      </w:pPr>
      <w:r w:rsidRPr="003D4C85">
        <w:rPr>
          <w:rFonts w:cs="Arial"/>
        </w:rPr>
        <w:t xml:space="preserve">The results of </w:t>
      </w:r>
      <w:r>
        <w:rPr>
          <w:rFonts w:cs="Arial"/>
        </w:rPr>
        <w:t>all three</w:t>
      </w:r>
      <w:r w:rsidRPr="003D4C85">
        <w:rPr>
          <w:rFonts w:cs="Arial"/>
        </w:rPr>
        <w:t xml:space="preserve"> </w:t>
      </w:r>
      <w:r>
        <w:rPr>
          <w:rFonts w:cs="Arial"/>
        </w:rPr>
        <w:t>BF</w:t>
      </w:r>
      <w:r w:rsidRPr="003D4C85">
        <w:rPr>
          <w:rFonts w:cs="Arial"/>
        </w:rPr>
        <w:t>T</w:t>
      </w:r>
      <w:r>
        <w:rPr>
          <w:rFonts w:cs="Arial"/>
        </w:rPr>
        <w:t>s</w:t>
      </w:r>
      <w:r w:rsidRPr="003D4C85">
        <w:rPr>
          <w:rFonts w:cs="Arial"/>
        </w:rPr>
        <w:t xml:space="preserve"> are reported in </w:t>
      </w:r>
      <w:r w:rsidR="00386F9E">
        <w:rPr>
          <w:rFonts w:cs="Arial"/>
        </w:rPr>
        <w:fldChar w:fldCharType="begin"/>
      </w:r>
      <w:r w:rsidR="00CB783F">
        <w:rPr>
          <w:rFonts w:cs="Arial"/>
        </w:rPr>
        <w:instrText xml:space="preserve"> REF _Ref494188567 \h </w:instrText>
      </w:r>
      <w:r w:rsidR="00386F9E">
        <w:rPr>
          <w:rFonts w:cs="Arial"/>
        </w:rPr>
      </w:r>
      <w:r w:rsidR="00386F9E">
        <w:rPr>
          <w:rFonts w:cs="Arial"/>
        </w:rPr>
        <w:fldChar w:fldCharType="separate"/>
      </w:r>
      <w:r w:rsidR="00FE38F8">
        <w:t xml:space="preserve">Table </w:t>
      </w:r>
      <w:r w:rsidR="00FE38F8">
        <w:rPr>
          <w:noProof/>
        </w:rPr>
        <w:t>5</w:t>
      </w:r>
      <w:r w:rsidR="00386F9E">
        <w:rPr>
          <w:rFonts w:cs="Arial"/>
        </w:rPr>
        <w:fldChar w:fldCharType="end"/>
      </w:r>
      <w:r w:rsidR="00CB783F">
        <w:rPr>
          <w:rFonts w:cs="Arial"/>
        </w:rPr>
        <w:t xml:space="preserve">. </w:t>
      </w:r>
      <w:r w:rsidRPr="003D4C85">
        <w:rPr>
          <w:rFonts w:cs="Arial"/>
        </w:rPr>
        <w:t>To derive the total biomass value</w:t>
      </w:r>
      <w:r>
        <w:rPr>
          <w:rFonts w:cs="Arial"/>
        </w:rPr>
        <w:t xml:space="preserve"> for households using charcoal</w:t>
      </w:r>
      <w:r w:rsidRPr="003D4C85">
        <w:rPr>
          <w:rFonts w:cs="Arial"/>
        </w:rPr>
        <w:t xml:space="preserve">, the tonnes of charcoal </w:t>
      </w:r>
      <w:r>
        <w:rPr>
          <w:rFonts w:cs="Arial"/>
        </w:rPr>
        <w:t xml:space="preserve">used are </w:t>
      </w:r>
      <w:r w:rsidRPr="003D4C85">
        <w:rPr>
          <w:rFonts w:cs="Arial"/>
        </w:rPr>
        <w:t xml:space="preserve">multiplied by a factor of </w:t>
      </w:r>
      <w:r>
        <w:rPr>
          <w:rFonts w:cs="Arial"/>
        </w:rPr>
        <w:t xml:space="preserve">8. </w:t>
      </w:r>
      <w:r w:rsidRPr="00D13D71">
        <w:rPr>
          <w:rFonts w:cs="Arial"/>
          <w:lang w:val="en-US"/>
        </w:rPr>
        <w:t>In Kenya, the use of traditional kilns to produce charcoal is widespread. These traditional kilns have a low biomass-to-</w:t>
      </w:r>
      <w:r w:rsidRPr="00D13D71">
        <w:rPr>
          <w:rFonts w:cs="Arial"/>
          <w:lang w:val="en-US"/>
        </w:rPr>
        <w:lastRenderedPageBreak/>
        <w:t>charcoal conversion efficiency. Traditional kilns used have an estimated conversion efficiency of only 8 – 12 %</w:t>
      </w:r>
      <w:r>
        <w:rPr>
          <w:rFonts w:cs="Arial"/>
          <w:lang w:val="en-US"/>
        </w:rPr>
        <w:t>. To remain conservative the lower value is used (ie. 8</w:t>
      </w:r>
      <w:r w:rsidRPr="00D13D71">
        <w:rPr>
          <w:rFonts w:cs="Arial"/>
          <w:lang w:val="en-US"/>
        </w:rPr>
        <w:t xml:space="preserve"> kg of woodfuel from every 1 kg of fuelwood</w:t>
      </w:r>
      <w:r>
        <w:rPr>
          <w:rFonts w:cs="Arial"/>
          <w:lang w:val="en-US"/>
        </w:rPr>
        <w:t>)</w:t>
      </w:r>
      <w:r>
        <w:rPr>
          <w:rStyle w:val="FootnoteReference"/>
          <w:rFonts w:cs="Arial"/>
          <w:lang w:val="en-US"/>
        </w:rPr>
        <w:footnoteReference w:id="21"/>
      </w:r>
      <w:r w:rsidR="00CB783F">
        <w:rPr>
          <w:rFonts w:cs="Arial"/>
        </w:rPr>
        <w:t xml:space="preserve">. </w:t>
      </w:r>
    </w:p>
    <w:p w14:paraId="0A98896C" w14:textId="77777777" w:rsidR="004245A4" w:rsidRPr="00BD0DCB" w:rsidRDefault="00B53A36" w:rsidP="00CB783F">
      <w:pPr>
        <w:pStyle w:val="Caption"/>
        <w:ind w:hanging="1956"/>
        <w:rPr>
          <w:rFonts w:cs="Arial"/>
          <w:i/>
          <w:lang w:eastAsia="en-US"/>
        </w:rPr>
      </w:pPr>
      <w:bookmarkStart w:id="14" w:name="_Ref494188567"/>
      <w:r>
        <w:t xml:space="preserve">Table </w:t>
      </w:r>
      <w:r w:rsidR="00386F9E">
        <w:fldChar w:fldCharType="begin"/>
      </w:r>
      <w:r>
        <w:instrText xml:space="preserve"> SEQ Table \* ARABIC </w:instrText>
      </w:r>
      <w:r w:rsidR="00386F9E">
        <w:fldChar w:fldCharType="separate"/>
      </w:r>
      <w:r w:rsidR="00FE38F8">
        <w:rPr>
          <w:noProof/>
        </w:rPr>
        <w:t>5</w:t>
      </w:r>
      <w:r w:rsidR="00386F9E">
        <w:fldChar w:fldCharType="end"/>
      </w:r>
      <w:bookmarkEnd w:id="14"/>
      <w:r>
        <w:t xml:space="preserve"> </w:t>
      </w:r>
      <w:r w:rsidR="00BD0DCB" w:rsidRPr="00CB783F">
        <w:rPr>
          <w:rFonts w:cs="Arial"/>
          <w:b w:val="0"/>
          <w:i/>
          <w:lang w:eastAsia="en-US"/>
        </w:rPr>
        <w:t>Biomass usage results in the baseline scenario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606"/>
        <w:gridCol w:w="2103"/>
        <w:gridCol w:w="2610"/>
        <w:gridCol w:w="2017"/>
      </w:tblGrid>
      <w:tr w:rsidR="004245A4" w14:paraId="0E57F9E6" w14:textId="77777777" w:rsidTr="001C250B">
        <w:tc>
          <w:tcPr>
            <w:tcW w:w="633" w:type="pct"/>
            <w:tcBorders>
              <w:top w:val="single" w:sz="4" w:space="0" w:color="auto"/>
              <w:left w:val="single" w:sz="4" w:space="0" w:color="auto"/>
              <w:bottom w:val="single" w:sz="4" w:space="0" w:color="auto"/>
              <w:right w:val="single" w:sz="4" w:space="0" w:color="auto"/>
            </w:tcBorders>
            <w:shd w:val="clear" w:color="auto" w:fill="D9D9D9"/>
            <w:hideMark/>
          </w:tcPr>
          <w:p w14:paraId="18DCBDD1" w14:textId="77777777" w:rsidR="004245A4" w:rsidRDefault="00E246BC" w:rsidP="001C250B">
            <w:pPr>
              <w:rPr>
                <w:rFonts w:cs="Arial"/>
                <w:b/>
              </w:rPr>
            </w:pPr>
            <w:r>
              <w:rPr>
                <w:rFonts w:cs="Arial"/>
                <w:b/>
              </w:rPr>
              <w:t>Parameter</w:t>
            </w:r>
          </w:p>
        </w:tc>
        <w:tc>
          <w:tcPr>
            <w:tcW w:w="609" w:type="pct"/>
            <w:tcBorders>
              <w:top w:val="single" w:sz="4" w:space="0" w:color="auto"/>
              <w:left w:val="single" w:sz="4" w:space="0" w:color="auto"/>
              <w:bottom w:val="single" w:sz="4" w:space="0" w:color="auto"/>
              <w:right w:val="single" w:sz="4" w:space="0" w:color="auto"/>
            </w:tcBorders>
            <w:shd w:val="clear" w:color="auto" w:fill="D9D9D9"/>
            <w:hideMark/>
          </w:tcPr>
          <w:p w14:paraId="676ABCA3" w14:textId="77777777" w:rsidR="004245A4" w:rsidRDefault="004245A4" w:rsidP="001C250B">
            <w:pPr>
              <w:rPr>
                <w:rFonts w:cs="Arial"/>
                <w:b/>
              </w:rPr>
            </w:pPr>
            <w:r>
              <w:rPr>
                <w:rFonts w:cs="Arial"/>
                <w:b/>
              </w:rPr>
              <w:t>Unit</w:t>
            </w:r>
          </w:p>
        </w:tc>
        <w:tc>
          <w:tcPr>
            <w:tcW w:w="1180" w:type="pct"/>
            <w:tcBorders>
              <w:top w:val="single" w:sz="4" w:space="0" w:color="auto"/>
              <w:left w:val="single" w:sz="4" w:space="0" w:color="auto"/>
              <w:bottom w:val="single" w:sz="4" w:space="0" w:color="auto"/>
              <w:right w:val="single" w:sz="4" w:space="0" w:color="auto"/>
            </w:tcBorders>
            <w:shd w:val="clear" w:color="auto" w:fill="D9D9D9"/>
            <w:hideMark/>
          </w:tcPr>
          <w:p w14:paraId="04D39E86" w14:textId="77777777" w:rsidR="004245A4" w:rsidRDefault="004245A4" w:rsidP="001C250B">
            <w:pPr>
              <w:rPr>
                <w:rFonts w:cs="Arial"/>
                <w:b/>
              </w:rPr>
            </w:pPr>
            <w:r>
              <w:rPr>
                <w:rFonts w:cs="Arial"/>
                <w:b/>
              </w:rPr>
              <w:t>Description</w:t>
            </w:r>
          </w:p>
        </w:tc>
        <w:tc>
          <w:tcPr>
            <w:tcW w:w="1443" w:type="pct"/>
            <w:tcBorders>
              <w:top w:val="single" w:sz="4" w:space="0" w:color="auto"/>
              <w:left w:val="single" w:sz="4" w:space="0" w:color="auto"/>
              <w:bottom w:val="single" w:sz="4" w:space="0" w:color="auto"/>
              <w:right w:val="single" w:sz="4" w:space="0" w:color="auto"/>
            </w:tcBorders>
            <w:shd w:val="clear" w:color="auto" w:fill="D9D9D9"/>
            <w:noWrap/>
            <w:hideMark/>
          </w:tcPr>
          <w:p w14:paraId="45751DF9" w14:textId="77777777" w:rsidR="004245A4" w:rsidRPr="00BD0DCB" w:rsidRDefault="004245A4" w:rsidP="001C250B">
            <w:pPr>
              <w:rPr>
                <w:rFonts w:cs="Arial"/>
                <w:b/>
              </w:rPr>
            </w:pPr>
            <w:r w:rsidRPr="00BD0DCB">
              <w:rPr>
                <w:rFonts w:cs="Arial"/>
                <w:b/>
              </w:rPr>
              <w:t>Amount</w:t>
            </w:r>
          </w:p>
        </w:tc>
        <w:tc>
          <w:tcPr>
            <w:tcW w:w="1135" w:type="pct"/>
            <w:tcBorders>
              <w:top w:val="single" w:sz="4" w:space="0" w:color="auto"/>
              <w:left w:val="single" w:sz="4" w:space="0" w:color="auto"/>
              <w:bottom w:val="single" w:sz="4" w:space="0" w:color="auto"/>
              <w:right w:val="single" w:sz="4" w:space="0" w:color="auto"/>
            </w:tcBorders>
            <w:shd w:val="clear" w:color="auto" w:fill="D9D9D9"/>
            <w:hideMark/>
          </w:tcPr>
          <w:p w14:paraId="390BA223" w14:textId="77777777" w:rsidR="004245A4" w:rsidRPr="00BD0DCB" w:rsidRDefault="004245A4" w:rsidP="001C250B">
            <w:pPr>
              <w:rPr>
                <w:rFonts w:cs="Arial"/>
                <w:b/>
              </w:rPr>
            </w:pPr>
            <w:r w:rsidRPr="00BD0DCB">
              <w:rPr>
                <w:rFonts w:cs="Arial"/>
                <w:b/>
              </w:rPr>
              <w:t>Source</w:t>
            </w:r>
          </w:p>
        </w:tc>
      </w:tr>
      <w:tr w:rsidR="004245A4" w14:paraId="2DC17B08" w14:textId="77777777" w:rsidTr="001C250B">
        <w:tc>
          <w:tcPr>
            <w:tcW w:w="633" w:type="pct"/>
            <w:tcBorders>
              <w:top w:val="single" w:sz="4" w:space="0" w:color="auto"/>
              <w:left w:val="single" w:sz="4" w:space="0" w:color="auto"/>
              <w:bottom w:val="single" w:sz="4" w:space="0" w:color="auto"/>
              <w:right w:val="single" w:sz="4" w:space="0" w:color="auto"/>
            </w:tcBorders>
            <w:hideMark/>
          </w:tcPr>
          <w:p w14:paraId="601AB695" w14:textId="77777777" w:rsidR="004245A4" w:rsidRPr="00A7165A" w:rsidRDefault="004245A4" w:rsidP="001C250B">
            <w:pPr>
              <w:rPr>
                <w:rFonts w:cs="Arial"/>
                <w:sz w:val="20"/>
              </w:rPr>
            </w:pPr>
            <w:r w:rsidRPr="00A7165A">
              <w:rPr>
                <w:rFonts w:cs="Arial"/>
                <w:sz w:val="20"/>
              </w:rPr>
              <w:t>BB</w:t>
            </w:r>
            <w:r w:rsidRPr="00A7165A">
              <w:rPr>
                <w:rFonts w:cs="Arial"/>
                <w:sz w:val="20"/>
                <w:vertAlign w:val="subscript"/>
              </w:rPr>
              <w:t>b1,bio</w:t>
            </w:r>
          </w:p>
        </w:tc>
        <w:tc>
          <w:tcPr>
            <w:tcW w:w="609" w:type="pct"/>
            <w:tcBorders>
              <w:top w:val="single" w:sz="4" w:space="0" w:color="auto"/>
              <w:left w:val="single" w:sz="4" w:space="0" w:color="auto"/>
              <w:bottom w:val="single" w:sz="4" w:space="0" w:color="auto"/>
              <w:right w:val="single" w:sz="4" w:space="0" w:color="auto"/>
            </w:tcBorders>
            <w:hideMark/>
          </w:tcPr>
          <w:p w14:paraId="7BDB5DA6" w14:textId="77777777" w:rsidR="004245A4" w:rsidRPr="00A7165A" w:rsidRDefault="004245A4" w:rsidP="001C250B">
            <w:pPr>
              <w:rPr>
                <w:rFonts w:cs="Arial"/>
                <w:sz w:val="20"/>
              </w:rPr>
            </w:pPr>
            <w:r w:rsidRPr="00A7165A">
              <w:rPr>
                <w:rFonts w:cs="Arial"/>
                <w:sz w:val="20"/>
              </w:rPr>
              <w:t>tonnes/</w:t>
            </w:r>
            <w:r w:rsidR="00DC09F1">
              <w:rPr>
                <w:rFonts w:cs="Arial"/>
                <w:sz w:val="20"/>
              </w:rPr>
              <w:t>HH/</w:t>
            </w:r>
            <w:r w:rsidRPr="00A7165A">
              <w:rPr>
                <w:rFonts w:cs="Arial"/>
                <w:sz w:val="20"/>
              </w:rPr>
              <w:t>year</w:t>
            </w:r>
          </w:p>
        </w:tc>
        <w:tc>
          <w:tcPr>
            <w:tcW w:w="1180" w:type="pct"/>
            <w:tcBorders>
              <w:top w:val="single" w:sz="4" w:space="0" w:color="auto"/>
              <w:left w:val="single" w:sz="4" w:space="0" w:color="auto"/>
              <w:bottom w:val="single" w:sz="4" w:space="0" w:color="auto"/>
              <w:right w:val="single" w:sz="4" w:space="0" w:color="auto"/>
            </w:tcBorders>
            <w:hideMark/>
          </w:tcPr>
          <w:p w14:paraId="29A49C3F" w14:textId="77777777" w:rsidR="004245A4" w:rsidRPr="00A7165A" w:rsidRDefault="004245A4" w:rsidP="001C250B">
            <w:pPr>
              <w:rPr>
                <w:rFonts w:cs="Arial"/>
                <w:sz w:val="20"/>
              </w:rPr>
            </w:pPr>
            <w:r w:rsidRPr="00A7165A">
              <w:rPr>
                <w:rFonts w:cs="Arial"/>
                <w:sz w:val="20"/>
              </w:rPr>
              <w:t>Amount of firewood used in the baseline scenario b1</w:t>
            </w:r>
          </w:p>
        </w:tc>
        <w:tc>
          <w:tcPr>
            <w:tcW w:w="1443" w:type="pct"/>
            <w:tcBorders>
              <w:top w:val="single" w:sz="4" w:space="0" w:color="auto"/>
              <w:left w:val="single" w:sz="4" w:space="0" w:color="auto"/>
              <w:bottom w:val="single" w:sz="4" w:space="0" w:color="auto"/>
              <w:right w:val="single" w:sz="4" w:space="0" w:color="auto"/>
            </w:tcBorders>
            <w:noWrap/>
          </w:tcPr>
          <w:p w14:paraId="2B0AE8F1" w14:textId="77777777" w:rsidR="004245A4" w:rsidRPr="00BD0DCB" w:rsidRDefault="00DC09F1" w:rsidP="00DC09F1">
            <w:pPr>
              <w:rPr>
                <w:rFonts w:cs="Arial"/>
                <w:sz w:val="20"/>
              </w:rPr>
            </w:pPr>
            <w:r>
              <w:rPr>
                <w:rFonts w:cs="Arial"/>
                <w:sz w:val="20"/>
              </w:rPr>
              <w:t>3.659</w:t>
            </w:r>
          </w:p>
        </w:tc>
        <w:tc>
          <w:tcPr>
            <w:tcW w:w="1135" w:type="pct"/>
            <w:tcBorders>
              <w:top w:val="single" w:sz="4" w:space="0" w:color="auto"/>
              <w:left w:val="single" w:sz="4" w:space="0" w:color="auto"/>
              <w:bottom w:val="single" w:sz="4" w:space="0" w:color="auto"/>
              <w:right w:val="single" w:sz="4" w:space="0" w:color="auto"/>
            </w:tcBorders>
          </w:tcPr>
          <w:p w14:paraId="5C972709" w14:textId="77777777" w:rsidR="004245A4" w:rsidRPr="00BD0DCB" w:rsidRDefault="004245A4" w:rsidP="001C250B">
            <w:pPr>
              <w:rPr>
                <w:rFonts w:cs="Arial"/>
                <w:sz w:val="20"/>
              </w:rPr>
            </w:pPr>
            <w:r w:rsidRPr="00BD0DCB">
              <w:rPr>
                <w:rFonts w:cs="Arial"/>
                <w:sz w:val="20"/>
              </w:rPr>
              <w:t xml:space="preserve">KPT primary data 29Sept2015 B1(firewood) (post-review), sheet ‘90/30 test’ </w:t>
            </w:r>
          </w:p>
        </w:tc>
      </w:tr>
      <w:tr w:rsidR="004245A4" w14:paraId="0D4E04CE" w14:textId="77777777" w:rsidTr="001C250B">
        <w:tc>
          <w:tcPr>
            <w:tcW w:w="633" w:type="pct"/>
            <w:tcBorders>
              <w:top w:val="single" w:sz="4" w:space="0" w:color="auto"/>
              <w:left w:val="single" w:sz="4" w:space="0" w:color="auto"/>
              <w:bottom w:val="single" w:sz="4" w:space="0" w:color="auto"/>
              <w:right w:val="single" w:sz="4" w:space="0" w:color="auto"/>
            </w:tcBorders>
            <w:hideMark/>
          </w:tcPr>
          <w:p w14:paraId="7299B7EC" w14:textId="77777777" w:rsidR="004245A4" w:rsidRPr="00A7165A" w:rsidRDefault="004245A4" w:rsidP="001C250B">
            <w:pPr>
              <w:rPr>
                <w:rFonts w:cs="Arial"/>
                <w:sz w:val="20"/>
              </w:rPr>
            </w:pPr>
            <w:r w:rsidRPr="00A7165A">
              <w:rPr>
                <w:rFonts w:cs="Arial"/>
                <w:sz w:val="20"/>
              </w:rPr>
              <w:t>BB</w:t>
            </w:r>
            <w:r w:rsidRPr="00A7165A">
              <w:rPr>
                <w:rFonts w:cs="Arial"/>
                <w:sz w:val="20"/>
                <w:vertAlign w:val="subscript"/>
              </w:rPr>
              <w:t>b2,bio</w:t>
            </w:r>
          </w:p>
        </w:tc>
        <w:tc>
          <w:tcPr>
            <w:tcW w:w="609" w:type="pct"/>
            <w:tcBorders>
              <w:top w:val="single" w:sz="4" w:space="0" w:color="auto"/>
              <w:left w:val="single" w:sz="4" w:space="0" w:color="auto"/>
              <w:bottom w:val="single" w:sz="4" w:space="0" w:color="auto"/>
              <w:right w:val="single" w:sz="4" w:space="0" w:color="auto"/>
            </w:tcBorders>
            <w:hideMark/>
          </w:tcPr>
          <w:p w14:paraId="0E31C6A8" w14:textId="77777777" w:rsidR="004245A4" w:rsidRPr="00A7165A" w:rsidRDefault="004245A4" w:rsidP="001C250B">
            <w:pPr>
              <w:rPr>
                <w:rFonts w:cs="Arial"/>
                <w:sz w:val="20"/>
              </w:rPr>
            </w:pPr>
            <w:r w:rsidRPr="00A7165A">
              <w:rPr>
                <w:rFonts w:cs="Arial"/>
                <w:sz w:val="20"/>
              </w:rPr>
              <w:t>tonnes/</w:t>
            </w:r>
            <w:r w:rsidR="00DC09F1">
              <w:rPr>
                <w:rFonts w:cs="Arial"/>
                <w:sz w:val="20"/>
              </w:rPr>
              <w:t>HH/</w:t>
            </w:r>
            <w:r w:rsidRPr="00A7165A">
              <w:rPr>
                <w:rFonts w:cs="Arial"/>
                <w:sz w:val="20"/>
              </w:rPr>
              <w:t xml:space="preserve"> year</w:t>
            </w:r>
          </w:p>
        </w:tc>
        <w:tc>
          <w:tcPr>
            <w:tcW w:w="1180" w:type="pct"/>
            <w:tcBorders>
              <w:top w:val="single" w:sz="4" w:space="0" w:color="auto"/>
              <w:left w:val="single" w:sz="4" w:space="0" w:color="auto"/>
              <w:bottom w:val="single" w:sz="4" w:space="0" w:color="auto"/>
              <w:right w:val="single" w:sz="4" w:space="0" w:color="auto"/>
            </w:tcBorders>
            <w:hideMark/>
          </w:tcPr>
          <w:p w14:paraId="269EE07E" w14:textId="77777777" w:rsidR="004245A4" w:rsidRPr="00A7165A" w:rsidRDefault="004245A4" w:rsidP="001C250B">
            <w:pPr>
              <w:rPr>
                <w:rFonts w:cs="Arial"/>
                <w:sz w:val="20"/>
              </w:rPr>
            </w:pPr>
            <w:r w:rsidRPr="00A7165A">
              <w:rPr>
                <w:rFonts w:cs="Arial"/>
                <w:sz w:val="20"/>
              </w:rPr>
              <w:t>Amount of charcoal used in the baseline scenario b2</w:t>
            </w:r>
          </w:p>
        </w:tc>
        <w:tc>
          <w:tcPr>
            <w:tcW w:w="1443" w:type="pct"/>
            <w:tcBorders>
              <w:top w:val="single" w:sz="4" w:space="0" w:color="auto"/>
              <w:left w:val="single" w:sz="4" w:space="0" w:color="auto"/>
              <w:bottom w:val="single" w:sz="4" w:space="0" w:color="auto"/>
              <w:right w:val="single" w:sz="4" w:space="0" w:color="auto"/>
            </w:tcBorders>
            <w:noWrap/>
          </w:tcPr>
          <w:p w14:paraId="381703DC" w14:textId="77777777" w:rsidR="004245A4" w:rsidRPr="00BD0DCB" w:rsidRDefault="00BD0DCB" w:rsidP="001C250B">
            <w:pPr>
              <w:rPr>
                <w:rFonts w:cs="Arial"/>
                <w:sz w:val="20"/>
              </w:rPr>
            </w:pPr>
            <w:r>
              <w:rPr>
                <w:rFonts w:cs="Arial"/>
                <w:sz w:val="20"/>
              </w:rPr>
              <w:t>7.48</w:t>
            </w:r>
          </w:p>
        </w:tc>
        <w:tc>
          <w:tcPr>
            <w:tcW w:w="1135" w:type="pct"/>
            <w:tcBorders>
              <w:top w:val="single" w:sz="4" w:space="0" w:color="auto"/>
              <w:left w:val="single" w:sz="4" w:space="0" w:color="auto"/>
              <w:bottom w:val="single" w:sz="4" w:space="0" w:color="auto"/>
              <w:right w:val="single" w:sz="4" w:space="0" w:color="auto"/>
            </w:tcBorders>
          </w:tcPr>
          <w:p w14:paraId="65FBF0B4" w14:textId="77777777" w:rsidR="004245A4" w:rsidRPr="00BD0DCB" w:rsidRDefault="00DC09F1" w:rsidP="001C250B">
            <w:pPr>
              <w:rPr>
                <w:rFonts w:cs="Arial"/>
                <w:sz w:val="20"/>
              </w:rPr>
            </w:pPr>
            <w:r w:rsidRPr="00DC09F1">
              <w:rPr>
                <w:rFonts w:cs="Arial"/>
                <w:sz w:val="20"/>
              </w:rPr>
              <w:t>20170322 B2 B3 BFT Results KE, sheet ‘B2 - 90|30 test'</w:t>
            </w:r>
          </w:p>
        </w:tc>
      </w:tr>
      <w:tr w:rsidR="004245A4" w14:paraId="13B27625" w14:textId="77777777" w:rsidTr="001C250B">
        <w:tc>
          <w:tcPr>
            <w:tcW w:w="633" w:type="pct"/>
            <w:tcBorders>
              <w:top w:val="single" w:sz="4" w:space="0" w:color="auto"/>
              <w:left w:val="single" w:sz="4" w:space="0" w:color="auto"/>
              <w:bottom w:val="single" w:sz="4" w:space="0" w:color="auto"/>
              <w:right w:val="single" w:sz="4" w:space="0" w:color="auto"/>
            </w:tcBorders>
            <w:hideMark/>
          </w:tcPr>
          <w:p w14:paraId="051B1D65" w14:textId="77777777" w:rsidR="004245A4" w:rsidRPr="00A7165A" w:rsidRDefault="004245A4" w:rsidP="001C250B">
            <w:pPr>
              <w:rPr>
                <w:rFonts w:cs="Arial"/>
                <w:sz w:val="20"/>
              </w:rPr>
            </w:pPr>
            <w:r w:rsidRPr="00A7165A">
              <w:rPr>
                <w:rFonts w:cs="Arial"/>
                <w:sz w:val="20"/>
              </w:rPr>
              <w:t>BB</w:t>
            </w:r>
            <w:r w:rsidRPr="00A7165A">
              <w:rPr>
                <w:rFonts w:cs="Arial"/>
                <w:sz w:val="20"/>
                <w:vertAlign w:val="subscript"/>
              </w:rPr>
              <w:t>b3,bio</w:t>
            </w:r>
          </w:p>
        </w:tc>
        <w:tc>
          <w:tcPr>
            <w:tcW w:w="609" w:type="pct"/>
            <w:tcBorders>
              <w:top w:val="single" w:sz="4" w:space="0" w:color="auto"/>
              <w:left w:val="single" w:sz="4" w:space="0" w:color="auto"/>
              <w:bottom w:val="single" w:sz="4" w:space="0" w:color="auto"/>
              <w:right w:val="single" w:sz="4" w:space="0" w:color="auto"/>
            </w:tcBorders>
            <w:hideMark/>
          </w:tcPr>
          <w:p w14:paraId="7C4354E6" w14:textId="77777777" w:rsidR="004245A4" w:rsidRPr="00A7165A" w:rsidRDefault="004245A4" w:rsidP="001C250B">
            <w:pPr>
              <w:rPr>
                <w:rFonts w:cs="Arial"/>
                <w:sz w:val="20"/>
              </w:rPr>
            </w:pPr>
            <w:r w:rsidRPr="00A7165A">
              <w:rPr>
                <w:rFonts w:cs="Arial"/>
                <w:sz w:val="20"/>
              </w:rPr>
              <w:t>tonnes/</w:t>
            </w:r>
            <w:r w:rsidR="00DC09F1">
              <w:rPr>
                <w:rFonts w:cs="Arial"/>
                <w:sz w:val="20"/>
              </w:rPr>
              <w:t>HH/</w:t>
            </w:r>
            <w:r w:rsidRPr="00A7165A">
              <w:rPr>
                <w:rFonts w:cs="Arial"/>
                <w:sz w:val="20"/>
              </w:rPr>
              <w:t>year</w:t>
            </w:r>
          </w:p>
        </w:tc>
        <w:tc>
          <w:tcPr>
            <w:tcW w:w="1180" w:type="pct"/>
            <w:tcBorders>
              <w:top w:val="single" w:sz="4" w:space="0" w:color="auto"/>
              <w:left w:val="single" w:sz="4" w:space="0" w:color="auto"/>
              <w:bottom w:val="single" w:sz="4" w:space="0" w:color="auto"/>
              <w:right w:val="single" w:sz="4" w:space="0" w:color="auto"/>
            </w:tcBorders>
            <w:hideMark/>
          </w:tcPr>
          <w:p w14:paraId="3E1CF803" w14:textId="77777777" w:rsidR="004245A4" w:rsidRPr="00A7165A" w:rsidRDefault="004245A4" w:rsidP="001C250B">
            <w:pPr>
              <w:rPr>
                <w:rFonts w:cs="Arial"/>
                <w:sz w:val="20"/>
              </w:rPr>
            </w:pPr>
            <w:r w:rsidRPr="00A7165A">
              <w:rPr>
                <w:rFonts w:cs="Arial"/>
                <w:sz w:val="20"/>
              </w:rPr>
              <w:t>Amount of charcoal _ firewood used in the baseline scenario b3</w:t>
            </w:r>
          </w:p>
        </w:tc>
        <w:tc>
          <w:tcPr>
            <w:tcW w:w="1443" w:type="pct"/>
            <w:tcBorders>
              <w:top w:val="single" w:sz="4" w:space="0" w:color="auto"/>
              <w:left w:val="single" w:sz="4" w:space="0" w:color="auto"/>
              <w:bottom w:val="single" w:sz="4" w:space="0" w:color="auto"/>
              <w:right w:val="single" w:sz="4" w:space="0" w:color="auto"/>
            </w:tcBorders>
            <w:noWrap/>
          </w:tcPr>
          <w:p w14:paraId="786359B0" w14:textId="77777777" w:rsidR="004245A4" w:rsidRPr="00BD0DCB" w:rsidRDefault="00BD0DCB" w:rsidP="001C250B">
            <w:pPr>
              <w:rPr>
                <w:rFonts w:cs="Arial"/>
                <w:sz w:val="20"/>
              </w:rPr>
            </w:pPr>
            <w:r>
              <w:rPr>
                <w:rFonts w:cs="Arial"/>
                <w:sz w:val="20"/>
              </w:rPr>
              <w:t>7.062</w:t>
            </w:r>
          </w:p>
        </w:tc>
        <w:tc>
          <w:tcPr>
            <w:tcW w:w="1135" w:type="pct"/>
            <w:tcBorders>
              <w:top w:val="single" w:sz="4" w:space="0" w:color="auto"/>
              <w:left w:val="single" w:sz="4" w:space="0" w:color="auto"/>
              <w:bottom w:val="single" w:sz="4" w:space="0" w:color="auto"/>
              <w:right w:val="single" w:sz="4" w:space="0" w:color="auto"/>
            </w:tcBorders>
          </w:tcPr>
          <w:p w14:paraId="1674A389" w14:textId="77777777" w:rsidR="004245A4" w:rsidRPr="00BD0DCB" w:rsidRDefault="00DC09F1" w:rsidP="001C250B">
            <w:pPr>
              <w:rPr>
                <w:rFonts w:cs="Arial"/>
                <w:sz w:val="20"/>
              </w:rPr>
            </w:pPr>
            <w:r w:rsidRPr="00DC09F1">
              <w:rPr>
                <w:rFonts w:cs="Arial"/>
                <w:sz w:val="20"/>
              </w:rPr>
              <w:t>20170322 B2 B3 BFT Results KE, sheet ‘B2 - 90|30 test'</w:t>
            </w:r>
          </w:p>
        </w:tc>
      </w:tr>
    </w:tbl>
    <w:p w14:paraId="406B25D5" w14:textId="77777777" w:rsidR="00B31C8B" w:rsidRDefault="00B31C8B" w:rsidP="00DF3451">
      <w:pPr>
        <w:rPr>
          <w:rFonts w:cs="Arial"/>
          <w:lang w:eastAsia="en-US"/>
        </w:rPr>
      </w:pPr>
    </w:p>
    <w:p w14:paraId="699745A7" w14:textId="77777777" w:rsidR="00B31C8B" w:rsidRPr="00E246BC" w:rsidRDefault="00D8415F" w:rsidP="00DF3451">
      <w:pPr>
        <w:rPr>
          <w:rFonts w:cs="Arial"/>
          <w:i/>
          <w:lang w:eastAsia="en-US"/>
        </w:rPr>
      </w:pPr>
      <w:r>
        <w:rPr>
          <w:rFonts w:cs="Arial"/>
          <w:i/>
          <w:lang w:eastAsia="en-US"/>
        </w:rPr>
        <w:t>Number of animals owned</w:t>
      </w:r>
    </w:p>
    <w:p w14:paraId="6B57F95F" w14:textId="77777777" w:rsidR="007F5554" w:rsidRDefault="007F5554" w:rsidP="00DF3451">
      <w:pPr>
        <w:rPr>
          <w:rFonts w:cs="Arial"/>
          <w:lang w:eastAsia="en-US"/>
        </w:rPr>
      </w:pPr>
      <w:r>
        <w:rPr>
          <w:rFonts w:cs="Arial"/>
          <w:lang w:eastAsia="en-US"/>
        </w:rPr>
        <w:t xml:space="preserve">As for the number of animals raised, the results have been gathered by the </w:t>
      </w:r>
      <w:r w:rsidR="00DC09F1">
        <w:rPr>
          <w:rFonts w:cs="Arial"/>
          <w:lang w:eastAsia="en-US"/>
        </w:rPr>
        <w:t>VPA</w:t>
      </w:r>
      <w:r w:rsidR="00D8415F">
        <w:rPr>
          <w:rFonts w:cs="Arial"/>
          <w:lang w:eastAsia="en-US"/>
        </w:rPr>
        <w:t>1 (GS2750)</w:t>
      </w:r>
      <w:r w:rsidR="00DC09F1">
        <w:rPr>
          <w:rFonts w:cs="Arial"/>
          <w:lang w:eastAsia="en-US"/>
        </w:rPr>
        <w:t xml:space="preserve"> monitoring</w:t>
      </w:r>
      <w:r w:rsidR="00BD0DCB">
        <w:rPr>
          <w:rFonts w:cs="Arial"/>
          <w:lang w:eastAsia="en-US"/>
        </w:rPr>
        <w:t xml:space="preserve"> conducted in 2016, which surveyed 135 households with biodigesters </w:t>
      </w:r>
      <w:r w:rsidR="00DC09F1">
        <w:rPr>
          <w:rFonts w:cs="Arial"/>
          <w:lang w:eastAsia="en-US"/>
        </w:rPr>
        <w:t xml:space="preserve">under the ABPP </w:t>
      </w:r>
      <w:r w:rsidR="00BD0DCB">
        <w:rPr>
          <w:rFonts w:cs="Arial"/>
          <w:lang w:eastAsia="en-US"/>
        </w:rPr>
        <w:t xml:space="preserve">throughout Kenya. </w:t>
      </w:r>
      <w:r w:rsidR="001255B3">
        <w:rPr>
          <w:rFonts w:cs="Arial"/>
          <w:lang w:eastAsia="en-US"/>
        </w:rPr>
        <w:t>The results are summarised in the table below.</w:t>
      </w:r>
    </w:p>
    <w:p w14:paraId="2906AC52" w14:textId="77777777" w:rsidR="007F5554" w:rsidRPr="00F440F5" w:rsidRDefault="00B53A36" w:rsidP="00CB783F">
      <w:pPr>
        <w:pStyle w:val="Caption"/>
        <w:ind w:hanging="1956"/>
        <w:rPr>
          <w:rFonts w:cs="Arial"/>
          <w:i/>
          <w:iCs/>
        </w:rPr>
      </w:pPr>
      <w:r>
        <w:t xml:space="preserve">Table </w:t>
      </w:r>
      <w:r w:rsidR="00386F9E">
        <w:fldChar w:fldCharType="begin"/>
      </w:r>
      <w:r>
        <w:instrText xml:space="preserve"> SEQ Table \* ARABIC </w:instrText>
      </w:r>
      <w:r w:rsidR="00386F9E">
        <w:fldChar w:fldCharType="separate"/>
      </w:r>
      <w:r w:rsidR="00FE38F8">
        <w:rPr>
          <w:noProof/>
        </w:rPr>
        <w:t>6</w:t>
      </w:r>
      <w:r w:rsidR="00386F9E">
        <w:fldChar w:fldCharType="end"/>
      </w:r>
      <w:r>
        <w:t xml:space="preserve"> </w:t>
      </w:r>
      <w:r w:rsidR="007F5554" w:rsidRPr="00CB783F">
        <w:rPr>
          <w:rFonts w:cs="Arial"/>
          <w:b w:val="0"/>
          <w:i/>
          <w:iCs/>
        </w:rPr>
        <w:t xml:space="preserve">Possession of livestock reported in the </w:t>
      </w:r>
      <w:r w:rsidR="001255B3" w:rsidRPr="00CB783F">
        <w:rPr>
          <w:rFonts w:cs="Arial"/>
          <w:b w:val="0"/>
          <w:i/>
          <w:iCs/>
        </w:rPr>
        <w:t xml:space="preserve">VPA1 Monitoring Survey </w:t>
      </w:r>
      <w:r w:rsidR="007F5554" w:rsidRPr="00CB783F">
        <w:rPr>
          <w:rFonts w:cs="Arial"/>
          <w:b w:val="0"/>
          <w:i/>
          <w:iCs/>
        </w:rPr>
        <w:t>2016</w:t>
      </w:r>
    </w:p>
    <w:tbl>
      <w:tblPr>
        <w:tblW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135"/>
      </w:tblGrid>
      <w:tr w:rsidR="007F5554" w14:paraId="6CCA8777" w14:textId="77777777" w:rsidTr="007F5554">
        <w:trPr>
          <w:trHeight w:val="47"/>
        </w:trPr>
        <w:tc>
          <w:tcPr>
            <w:tcW w:w="3192" w:type="dxa"/>
            <w:tcBorders>
              <w:top w:val="single" w:sz="4" w:space="0" w:color="auto"/>
              <w:left w:val="single" w:sz="4" w:space="0" w:color="auto"/>
              <w:bottom w:val="single" w:sz="4" w:space="0" w:color="auto"/>
              <w:right w:val="single" w:sz="4" w:space="0" w:color="auto"/>
            </w:tcBorders>
            <w:shd w:val="clear" w:color="auto" w:fill="D9D9D9"/>
            <w:hideMark/>
          </w:tcPr>
          <w:p w14:paraId="000D948B" w14:textId="77777777" w:rsidR="007F5554" w:rsidRDefault="007F5554">
            <w:pPr>
              <w:rPr>
                <w:rFonts w:cs="Arial"/>
                <w:b/>
              </w:rPr>
            </w:pPr>
            <w:r>
              <w:rPr>
                <w:rFonts w:cs="Arial"/>
                <w:b/>
              </w:rPr>
              <w:t>Animal T</w:t>
            </w:r>
          </w:p>
        </w:tc>
        <w:tc>
          <w:tcPr>
            <w:tcW w:w="2136" w:type="dxa"/>
            <w:tcBorders>
              <w:top w:val="single" w:sz="4" w:space="0" w:color="auto"/>
              <w:left w:val="single" w:sz="4" w:space="0" w:color="auto"/>
              <w:bottom w:val="single" w:sz="4" w:space="0" w:color="auto"/>
              <w:right w:val="single" w:sz="4" w:space="0" w:color="auto"/>
            </w:tcBorders>
            <w:shd w:val="clear" w:color="auto" w:fill="D9D9D9"/>
            <w:hideMark/>
          </w:tcPr>
          <w:p w14:paraId="2408484D" w14:textId="77777777" w:rsidR="007F5554" w:rsidRDefault="007F5554">
            <w:pPr>
              <w:rPr>
                <w:rFonts w:cs="Arial"/>
                <w:b/>
              </w:rPr>
            </w:pPr>
            <w:r>
              <w:rPr>
                <w:rFonts w:cs="Arial"/>
                <w:b/>
              </w:rPr>
              <w:t>Average amount</w:t>
            </w:r>
          </w:p>
        </w:tc>
      </w:tr>
      <w:tr w:rsidR="007F5554" w14:paraId="569752BE" w14:textId="77777777" w:rsidTr="007F5554">
        <w:trPr>
          <w:trHeight w:val="69"/>
        </w:trPr>
        <w:tc>
          <w:tcPr>
            <w:tcW w:w="3192" w:type="dxa"/>
            <w:tcBorders>
              <w:top w:val="single" w:sz="4" w:space="0" w:color="auto"/>
              <w:left w:val="single" w:sz="4" w:space="0" w:color="auto"/>
              <w:bottom w:val="single" w:sz="4" w:space="0" w:color="auto"/>
              <w:right w:val="single" w:sz="4" w:space="0" w:color="auto"/>
            </w:tcBorders>
            <w:hideMark/>
          </w:tcPr>
          <w:p w14:paraId="30BBD160" w14:textId="77777777" w:rsidR="007F5554" w:rsidRDefault="007F5554">
            <w:pPr>
              <w:rPr>
                <w:rFonts w:cs="Arial"/>
              </w:rPr>
            </w:pPr>
            <w:r>
              <w:rPr>
                <w:rFonts w:cs="Arial"/>
              </w:rPr>
              <w:t>Dairy cow</w:t>
            </w:r>
          </w:p>
        </w:tc>
        <w:tc>
          <w:tcPr>
            <w:tcW w:w="2136" w:type="dxa"/>
            <w:tcBorders>
              <w:top w:val="single" w:sz="4" w:space="0" w:color="auto"/>
              <w:left w:val="single" w:sz="4" w:space="0" w:color="auto"/>
              <w:bottom w:val="single" w:sz="4" w:space="0" w:color="auto"/>
              <w:right w:val="single" w:sz="4" w:space="0" w:color="auto"/>
            </w:tcBorders>
            <w:hideMark/>
          </w:tcPr>
          <w:p w14:paraId="305C0E24" w14:textId="77777777" w:rsidR="007F5554" w:rsidRDefault="007F5554">
            <w:pPr>
              <w:rPr>
                <w:rFonts w:cs="Arial"/>
              </w:rPr>
            </w:pPr>
            <w:r>
              <w:rPr>
                <w:rFonts w:cs="Arial"/>
              </w:rPr>
              <w:t>5.3</w:t>
            </w:r>
            <w:r w:rsidR="00DC09F1">
              <w:rPr>
                <w:rFonts w:cs="Arial"/>
              </w:rPr>
              <w:t>3</w:t>
            </w:r>
          </w:p>
        </w:tc>
      </w:tr>
      <w:tr w:rsidR="007F5554" w14:paraId="6385664F" w14:textId="77777777" w:rsidTr="007F5554">
        <w:trPr>
          <w:trHeight w:val="168"/>
        </w:trPr>
        <w:tc>
          <w:tcPr>
            <w:tcW w:w="3192" w:type="dxa"/>
            <w:tcBorders>
              <w:top w:val="single" w:sz="4" w:space="0" w:color="auto"/>
              <w:left w:val="single" w:sz="4" w:space="0" w:color="auto"/>
              <w:bottom w:val="single" w:sz="4" w:space="0" w:color="auto"/>
              <w:right w:val="single" w:sz="4" w:space="0" w:color="auto"/>
            </w:tcBorders>
            <w:hideMark/>
          </w:tcPr>
          <w:p w14:paraId="064E30CC" w14:textId="77777777" w:rsidR="007F5554" w:rsidRDefault="007F5554">
            <w:pPr>
              <w:rPr>
                <w:rFonts w:cs="Arial"/>
              </w:rPr>
            </w:pPr>
            <w:r>
              <w:rPr>
                <w:rFonts w:cs="Arial"/>
              </w:rPr>
              <w:t>Goat</w:t>
            </w:r>
          </w:p>
        </w:tc>
        <w:tc>
          <w:tcPr>
            <w:tcW w:w="2136" w:type="dxa"/>
            <w:tcBorders>
              <w:top w:val="single" w:sz="4" w:space="0" w:color="auto"/>
              <w:left w:val="single" w:sz="4" w:space="0" w:color="auto"/>
              <w:bottom w:val="single" w:sz="4" w:space="0" w:color="auto"/>
              <w:right w:val="single" w:sz="4" w:space="0" w:color="auto"/>
            </w:tcBorders>
            <w:hideMark/>
          </w:tcPr>
          <w:p w14:paraId="00B2B98F" w14:textId="77777777" w:rsidR="007F5554" w:rsidRDefault="007F5554">
            <w:pPr>
              <w:rPr>
                <w:rFonts w:cs="Arial"/>
              </w:rPr>
            </w:pPr>
            <w:r>
              <w:rPr>
                <w:rFonts w:cs="Arial"/>
              </w:rPr>
              <w:t>1.3</w:t>
            </w:r>
            <w:r w:rsidR="00DC09F1">
              <w:rPr>
                <w:rFonts w:cs="Arial"/>
              </w:rPr>
              <w:t>0</w:t>
            </w:r>
          </w:p>
        </w:tc>
      </w:tr>
      <w:tr w:rsidR="007F5554" w14:paraId="080E4AEF" w14:textId="77777777" w:rsidTr="007F5554">
        <w:trPr>
          <w:trHeight w:val="159"/>
        </w:trPr>
        <w:tc>
          <w:tcPr>
            <w:tcW w:w="3192" w:type="dxa"/>
            <w:tcBorders>
              <w:top w:val="single" w:sz="4" w:space="0" w:color="auto"/>
              <w:left w:val="single" w:sz="4" w:space="0" w:color="auto"/>
              <w:bottom w:val="single" w:sz="4" w:space="0" w:color="auto"/>
              <w:right w:val="single" w:sz="4" w:space="0" w:color="auto"/>
            </w:tcBorders>
            <w:hideMark/>
          </w:tcPr>
          <w:p w14:paraId="0FB2C9DB" w14:textId="77777777" w:rsidR="007F5554" w:rsidRDefault="007F5554">
            <w:pPr>
              <w:rPr>
                <w:rFonts w:cs="Arial"/>
              </w:rPr>
            </w:pPr>
            <w:r>
              <w:rPr>
                <w:rFonts w:cs="Arial"/>
              </w:rPr>
              <w:t>Market swine</w:t>
            </w:r>
          </w:p>
        </w:tc>
        <w:tc>
          <w:tcPr>
            <w:tcW w:w="2136" w:type="dxa"/>
            <w:tcBorders>
              <w:top w:val="single" w:sz="4" w:space="0" w:color="auto"/>
              <w:left w:val="single" w:sz="4" w:space="0" w:color="auto"/>
              <w:bottom w:val="single" w:sz="4" w:space="0" w:color="auto"/>
              <w:right w:val="single" w:sz="4" w:space="0" w:color="auto"/>
            </w:tcBorders>
            <w:hideMark/>
          </w:tcPr>
          <w:p w14:paraId="58F69DBD" w14:textId="77777777" w:rsidR="007F5554" w:rsidRDefault="007F5554">
            <w:pPr>
              <w:rPr>
                <w:rFonts w:cs="Arial"/>
                <w:iCs/>
              </w:rPr>
            </w:pPr>
            <w:r>
              <w:rPr>
                <w:rFonts w:cs="Arial"/>
                <w:iCs/>
              </w:rPr>
              <w:t>0.3</w:t>
            </w:r>
            <w:r w:rsidR="00DC09F1">
              <w:rPr>
                <w:rFonts w:cs="Arial"/>
                <w:iCs/>
              </w:rPr>
              <w:t>3</w:t>
            </w:r>
          </w:p>
        </w:tc>
      </w:tr>
      <w:tr w:rsidR="007F5554" w14:paraId="6001E117" w14:textId="77777777" w:rsidTr="007F5554">
        <w:trPr>
          <w:trHeight w:val="69"/>
        </w:trPr>
        <w:tc>
          <w:tcPr>
            <w:tcW w:w="3192" w:type="dxa"/>
            <w:tcBorders>
              <w:top w:val="single" w:sz="4" w:space="0" w:color="auto"/>
              <w:left w:val="single" w:sz="4" w:space="0" w:color="auto"/>
              <w:bottom w:val="single" w:sz="4" w:space="0" w:color="auto"/>
              <w:right w:val="single" w:sz="4" w:space="0" w:color="auto"/>
            </w:tcBorders>
            <w:hideMark/>
          </w:tcPr>
          <w:p w14:paraId="275D5C30" w14:textId="77777777" w:rsidR="007F5554" w:rsidRDefault="007F5554">
            <w:pPr>
              <w:rPr>
                <w:rFonts w:cs="Arial"/>
              </w:rPr>
            </w:pPr>
            <w:r>
              <w:rPr>
                <w:rFonts w:cs="Arial"/>
              </w:rPr>
              <w:t>Sheep</w:t>
            </w:r>
          </w:p>
        </w:tc>
        <w:tc>
          <w:tcPr>
            <w:tcW w:w="2136" w:type="dxa"/>
            <w:tcBorders>
              <w:top w:val="single" w:sz="4" w:space="0" w:color="auto"/>
              <w:left w:val="single" w:sz="4" w:space="0" w:color="auto"/>
              <w:bottom w:val="single" w:sz="4" w:space="0" w:color="auto"/>
              <w:right w:val="single" w:sz="4" w:space="0" w:color="auto"/>
            </w:tcBorders>
            <w:hideMark/>
          </w:tcPr>
          <w:p w14:paraId="43A65B1B" w14:textId="77777777" w:rsidR="007F5554" w:rsidRDefault="007F5554">
            <w:pPr>
              <w:rPr>
                <w:rFonts w:cs="Arial"/>
              </w:rPr>
            </w:pPr>
            <w:r>
              <w:rPr>
                <w:rFonts w:cs="Arial"/>
              </w:rPr>
              <w:t>2.5</w:t>
            </w:r>
            <w:r w:rsidR="00DC09F1">
              <w:rPr>
                <w:rFonts w:cs="Arial"/>
              </w:rPr>
              <w:t>3</w:t>
            </w:r>
          </w:p>
        </w:tc>
      </w:tr>
      <w:tr w:rsidR="007F5554" w14:paraId="4D5CEDEB" w14:textId="77777777" w:rsidTr="007F5554">
        <w:trPr>
          <w:trHeight w:val="132"/>
        </w:trPr>
        <w:tc>
          <w:tcPr>
            <w:tcW w:w="3192" w:type="dxa"/>
            <w:tcBorders>
              <w:top w:val="single" w:sz="4" w:space="0" w:color="auto"/>
              <w:left w:val="single" w:sz="4" w:space="0" w:color="auto"/>
              <w:bottom w:val="single" w:sz="4" w:space="0" w:color="auto"/>
              <w:right w:val="single" w:sz="4" w:space="0" w:color="auto"/>
            </w:tcBorders>
            <w:hideMark/>
          </w:tcPr>
          <w:p w14:paraId="432517BB" w14:textId="77777777" w:rsidR="007F5554" w:rsidRDefault="007F5554">
            <w:pPr>
              <w:rPr>
                <w:rFonts w:cs="Arial"/>
              </w:rPr>
            </w:pPr>
            <w:r>
              <w:rPr>
                <w:rFonts w:cs="Arial"/>
              </w:rPr>
              <w:t>Other cattle</w:t>
            </w:r>
          </w:p>
        </w:tc>
        <w:tc>
          <w:tcPr>
            <w:tcW w:w="2136" w:type="dxa"/>
            <w:tcBorders>
              <w:top w:val="single" w:sz="4" w:space="0" w:color="auto"/>
              <w:left w:val="single" w:sz="4" w:space="0" w:color="auto"/>
              <w:bottom w:val="single" w:sz="4" w:space="0" w:color="auto"/>
              <w:right w:val="single" w:sz="4" w:space="0" w:color="auto"/>
            </w:tcBorders>
            <w:hideMark/>
          </w:tcPr>
          <w:p w14:paraId="010C3BC0" w14:textId="77777777" w:rsidR="007F5554" w:rsidRDefault="007F5554">
            <w:pPr>
              <w:rPr>
                <w:rFonts w:cs="Arial"/>
                <w:iCs/>
              </w:rPr>
            </w:pPr>
            <w:r>
              <w:rPr>
                <w:rFonts w:cs="Arial"/>
                <w:iCs/>
              </w:rPr>
              <w:t>1.</w:t>
            </w:r>
            <w:r w:rsidR="00DC09F1">
              <w:rPr>
                <w:rFonts w:cs="Arial"/>
                <w:iCs/>
              </w:rPr>
              <w:t>39</w:t>
            </w:r>
          </w:p>
        </w:tc>
      </w:tr>
      <w:tr w:rsidR="007F5554" w14:paraId="0A98B05C" w14:textId="77777777" w:rsidTr="007F5554">
        <w:trPr>
          <w:trHeight w:val="47"/>
        </w:trPr>
        <w:tc>
          <w:tcPr>
            <w:tcW w:w="3192" w:type="dxa"/>
            <w:tcBorders>
              <w:top w:val="single" w:sz="4" w:space="0" w:color="auto"/>
              <w:left w:val="single" w:sz="4" w:space="0" w:color="auto"/>
              <w:bottom w:val="single" w:sz="4" w:space="0" w:color="auto"/>
              <w:right w:val="single" w:sz="4" w:space="0" w:color="auto"/>
            </w:tcBorders>
            <w:hideMark/>
          </w:tcPr>
          <w:p w14:paraId="012040EB" w14:textId="77777777" w:rsidR="007F5554" w:rsidRDefault="007F5554">
            <w:pPr>
              <w:rPr>
                <w:rFonts w:cs="Arial"/>
              </w:rPr>
            </w:pPr>
            <w:r>
              <w:rPr>
                <w:rFonts w:cs="Arial"/>
              </w:rPr>
              <w:t>Poultry</w:t>
            </w:r>
          </w:p>
        </w:tc>
        <w:tc>
          <w:tcPr>
            <w:tcW w:w="2136" w:type="dxa"/>
            <w:tcBorders>
              <w:top w:val="single" w:sz="4" w:space="0" w:color="auto"/>
              <w:left w:val="single" w:sz="4" w:space="0" w:color="auto"/>
              <w:bottom w:val="single" w:sz="4" w:space="0" w:color="auto"/>
              <w:right w:val="single" w:sz="4" w:space="0" w:color="auto"/>
            </w:tcBorders>
            <w:hideMark/>
          </w:tcPr>
          <w:p w14:paraId="4D672F91" w14:textId="77777777" w:rsidR="007F5554" w:rsidRDefault="007F5554">
            <w:pPr>
              <w:rPr>
                <w:rFonts w:cs="Arial"/>
                <w:iCs/>
              </w:rPr>
            </w:pPr>
            <w:r>
              <w:rPr>
                <w:rFonts w:cs="Arial"/>
                <w:iCs/>
              </w:rPr>
              <w:t>24.</w:t>
            </w:r>
            <w:r w:rsidR="00DC09F1">
              <w:rPr>
                <w:rFonts w:cs="Arial"/>
                <w:iCs/>
              </w:rPr>
              <w:t>09</w:t>
            </w:r>
          </w:p>
        </w:tc>
      </w:tr>
    </w:tbl>
    <w:p w14:paraId="1EB280D5" w14:textId="77777777" w:rsidR="007F5554" w:rsidRDefault="007F5554" w:rsidP="00DF3451">
      <w:pPr>
        <w:rPr>
          <w:rFonts w:cs="Arial"/>
          <w:lang w:eastAsia="en-US"/>
        </w:rPr>
      </w:pPr>
    </w:p>
    <w:p w14:paraId="410522D3" w14:textId="77777777" w:rsidR="00D8415F" w:rsidRPr="00E246BC" w:rsidRDefault="00D8415F" w:rsidP="00DF3451">
      <w:pPr>
        <w:rPr>
          <w:rFonts w:cs="Arial"/>
          <w:i/>
          <w:lang w:eastAsia="en-US"/>
        </w:rPr>
      </w:pPr>
      <w:r>
        <w:rPr>
          <w:rFonts w:cs="Arial"/>
          <w:i/>
          <w:lang w:eastAsia="en-US"/>
        </w:rPr>
        <w:t>Methane conversion factor (MCF)</w:t>
      </w:r>
    </w:p>
    <w:p w14:paraId="7D15E25F" w14:textId="77777777" w:rsidR="00F440F5" w:rsidRDefault="00F440F5" w:rsidP="00F440F5">
      <w:pPr>
        <w:rPr>
          <w:rFonts w:cs="Arial"/>
          <w:lang w:eastAsia="en-US"/>
        </w:rPr>
      </w:pPr>
      <w:r>
        <w:rPr>
          <w:rFonts w:cs="Arial"/>
          <w:lang w:eastAsia="en-US"/>
        </w:rPr>
        <w:t xml:space="preserve">The </w:t>
      </w:r>
      <w:r w:rsidR="00BD0DCB">
        <w:rPr>
          <w:rFonts w:cs="Arial"/>
          <w:lang w:eastAsia="en-US"/>
        </w:rPr>
        <w:t xml:space="preserve">baseline study </w:t>
      </w:r>
      <w:r>
        <w:rPr>
          <w:rFonts w:cs="Arial"/>
          <w:lang w:eastAsia="en-US"/>
        </w:rPr>
        <w:t>results</w:t>
      </w:r>
      <w:r w:rsidR="00984718">
        <w:rPr>
          <w:rFonts w:cs="Arial"/>
          <w:lang w:eastAsia="en-US"/>
        </w:rPr>
        <w:t xml:space="preserve"> carried out in 2014 at inclusion of VPA1 (GS2750)</w:t>
      </w:r>
      <w:r>
        <w:rPr>
          <w:rFonts w:cs="Arial"/>
          <w:lang w:eastAsia="en-US"/>
        </w:rPr>
        <w:t xml:space="preserve"> indicate that daily spread is the most common manure handling method, followed by pasture/range/paddock, uncovered lagoon and drylot. The system-specific methane conversion factors applicable to the baseline are provided in the IPCCC Guidelines for National Greenhouse Gas Inventories. The applicable MCF, which is an input for the </w:t>
      </w:r>
      <w:r w:rsidR="009F1357">
        <w:rPr>
          <w:rFonts w:cs="Arial"/>
          <w:lang w:eastAsia="en-US"/>
        </w:rPr>
        <w:t>e</w:t>
      </w:r>
      <w:r>
        <w:rPr>
          <w:rFonts w:cs="Arial"/>
          <w:lang w:eastAsia="en-US"/>
        </w:rPr>
        <w:t xml:space="preserve">mission reduction calculation explored below, is chosen from default values </w:t>
      </w:r>
      <w:r>
        <w:rPr>
          <w:rFonts w:cs="Arial"/>
        </w:rPr>
        <w:t>presented in Table 10.17, Chapter 10, Volume 4 of the 2006 IPCC Guidelines</w:t>
      </w:r>
      <w:r>
        <w:rPr>
          <w:rFonts w:cs="Arial"/>
          <w:lang w:eastAsia="en-US"/>
        </w:rPr>
        <w:t xml:space="preserve">. </w:t>
      </w:r>
    </w:p>
    <w:p w14:paraId="4B9A6207" w14:textId="77777777" w:rsidR="00B53A36" w:rsidRPr="00B53A36" w:rsidRDefault="00B53A36" w:rsidP="00CB783F">
      <w:pPr>
        <w:pStyle w:val="Caption"/>
        <w:ind w:hanging="1956"/>
        <w:rPr>
          <w:rFonts w:cs="Arial"/>
          <w:i/>
          <w:lang w:eastAsia="en-US"/>
        </w:rPr>
      </w:pPr>
      <w:r>
        <w:t xml:space="preserve">Table </w:t>
      </w:r>
      <w:r w:rsidR="00386F9E">
        <w:fldChar w:fldCharType="begin"/>
      </w:r>
      <w:r>
        <w:instrText xml:space="preserve"> SEQ Table \* ARABIC </w:instrText>
      </w:r>
      <w:r w:rsidR="00386F9E">
        <w:fldChar w:fldCharType="separate"/>
      </w:r>
      <w:r w:rsidR="00FE38F8">
        <w:rPr>
          <w:noProof/>
        </w:rPr>
        <w:t>7</w:t>
      </w:r>
      <w:r w:rsidR="00386F9E">
        <w:fldChar w:fldCharType="end"/>
      </w:r>
      <w:r>
        <w:t xml:space="preserve"> </w:t>
      </w:r>
      <w:r w:rsidRPr="00CB783F">
        <w:rPr>
          <w:b w:val="0"/>
        </w:rPr>
        <w:t xml:space="preserve">Average </w:t>
      </w:r>
      <w:r w:rsidRPr="00CB783F">
        <w:rPr>
          <w:b w:val="0"/>
          <w:i/>
        </w:rPr>
        <w:t>MCF calculation</w:t>
      </w:r>
    </w:p>
    <w:tbl>
      <w:tblPr>
        <w:tblW w:w="5000" w:type="pct"/>
        <w:tblLook w:val="04A0" w:firstRow="1" w:lastRow="0" w:firstColumn="1" w:lastColumn="0" w:noHBand="0" w:noVBand="1"/>
      </w:tblPr>
      <w:tblGrid>
        <w:gridCol w:w="2124"/>
        <w:gridCol w:w="1259"/>
        <w:gridCol w:w="432"/>
        <w:gridCol w:w="324"/>
        <w:gridCol w:w="560"/>
        <w:gridCol w:w="307"/>
        <w:gridCol w:w="610"/>
        <w:gridCol w:w="127"/>
        <w:gridCol w:w="789"/>
        <w:gridCol w:w="178"/>
        <w:gridCol w:w="698"/>
        <w:gridCol w:w="109"/>
        <w:gridCol w:w="794"/>
        <w:gridCol w:w="52"/>
        <w:gridCol w:w="1266"/>
      </w:tblGrid>
      <w:tr w:rsidR="00F440F5" w14:paraId="251DC3C7" w14:textId="77777777" w:rsidTr="00F440F5">
        <w:trPr>
          <w:trHeight w:val="990"/>
        </w:trPr>
        <w:tc>
          <w:tcPr>
            <w:tcW w:w="630"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CAF88C5" w14:textId="77777777" w:rsidR="00F440F5" w:rsidRDefault="00F440F5">
            <w:pPr>
              <w:rPr>
                <w:rFonts w:cs="Arial"/>
                <w:b/>
                <w:bCs/>
                <w:lang w:val="en-US"/>
              </w:rPr>
            </w:pPr>
            <w:r>
              <w:rPr>
                <w:rFonts w:cs="Arial"/>
                <w:b/>
                <w:bCs/>
                <w:lang w:val="en-US"/>
              </w:rPr>
              <w:t>Method</w:t>
            </w:r>
          </w:p>
        </w:tc>
        <w:tc>
          <w:tcPr>
            <w:tcW w:w="744" w:type="pct"/>
            <w:tcBorders>
              <w:top w:val="single" w:sz="4" w:space="0" w:color="auto"/>
              <w:left w:val="nil"/>
              <w:bottom w:val="single" w:sz="4" w:space="0" w:color="auto"/>
              <w:right w:val="single" w:sz="4" w:space="0" w:color="auto"/>
            </w:tcBorders>
            <w:shd w:val="clear" w:color="auto" w:fill="D9D9D9"/>
            <w:vAlign w:val="center"/>
            <w:hideMark/>
          </w:tcPr>
          <w:p w14:paraId="751EF2C9" w14:textId="77777777" w:rsidR="00F440F5" w:rsidRPr="00DD04FE" w:rsidRDefault="00F440F5">
            <w:pPr>
              <w:rPr>
                <w:rFonts w:cs="Arial"/>
                <w:b/>
                <w:sz w:val="18"/>
                <w:szCs w:val="18"/>
                <w:lang w:val="en-US"/>
              </w:rPr>
            </w:pPr>
            <w:r w:rsidRPr="00DD04FE">
              <w:rPr>
                <w:rFonts w:cs="Arial"/>
                <w:b/>
                <w:sz w:val="18"/>
                <w:szCs w:val="18"/>
                <w:lang w:val="en-US"/>
              </w:rPr>
              <w:t>Uncovered lagoon</w:t>
            </w:r>
          </w:p>
        </w:tc>
        <w:tc>
          <w:tcPr>
            <w:tcW w:w="518" w:type="pct"/>
            <w:gridSpan w:val="2"/>
            <w:tcBorders>
              <w:top w:val="single" w:sz="4" w:space="0" w:color="auto"/>
              <w:left w:val="nil"/>
              <w:bottom w:val="single" w:sz="4" w:space="0" w:color="auto"/>
              <w:right w:val="single" w:sz="4" w:space="0" w:color="auto"/>
            </w:tcBorders>
            <w:shd w:val="clear" w:color="auto" w:fill="D9D9D9"/>
            <w:vAlign w:val="center"/>
            <w:hideMark/>
          </w:tcPr>
          <w:p w14:paraId="3F5507B9" w14:textId="77777777" w:rsidR="00F440F5" w:rsidRPr="00DD04FE" w:rsidRDefault="00F440F5">
            <w:pPr>
              <w:rPr>
                <w:rFonts w:cs="Arial"/>
                <w:b/>
                <w:sz w:val="18"/>
                <w:szCs w:val="18"/>
                <w:lang w:val="en-US"/>
              </w:rPr>
            </w:pPr>
            <w:r w:rsidRPr="00DD04FE">
              <w:rPr>
                <w:rFonts w:cs="Arial"/>
                <w:b/>
                <w:sz w:val="18"/>
                <w:szCs w:val="18"/>
                <w:lang w:val="en-US"/>
              </w:rPr>
              <w:t>Liquid slurry</w:t>
            </w:r>
          </w:p>
        </w:tc>
        <w:tc>
          <w:tcPr>
            <w:tcW w:w="518" w:type="pct"/>
            <w:gridSpan w:val="2"/>
            <w:tcBorders>
              <w:top w:val="single" w:sz="4" w:space="0" w:color="auto"/>
              <w:left w:val="nil"/>
              <w:bottom w:val="single" w:sz="4" w:space="0" w:color="auto"/>
              <w:right w:val="single" w:sz="4" w:space="0" w:color="auto"/>
            </w:tcBorders>
            <w:shd w:val="clear" w:color="auto" w:fill="D9D9D9"/>
            <w:vAlign w:val="center"/>
            <w:hideMark/>
          </w:tcPr>
          <w:p w14:paraId="3C16240A" w14:textId="77777777" w:rsidR="00F440F5" w:rsidRPr="00DD04FE" w:rsidRDefault="00F440F5">
            <w:pPr>
              <w:rPr>
                <w:rFonts w:cs="Arial"/>
                <w:b/>
                <w:sz w:val="18"/>
                <w:szCs w:val="18"/>
                <w:lang w:val="en-US"/>
              </w:rPr>
            </w:pPr>
            <w:r w:rsidRPr="00DD04FE">
              <w:rPr>
                <w:rFonts w:cs="Arial"/>
                <w:b/>
                <w:sz w:val="18"/>
                <w:szCs w:val="18"/>
                <w:lang w:val="en-US"/>
              </w:rPr>
              <w:t>Solid storage</w:t>
            </w:r>
          </w:p>
        </w:tc>
        <w:tc>
          <w:tcPr>
            <w:tcW w:w="450" w:type="pct"/>
            <w:gridSpan w:val="2"/>
            <w:tcBorders>
              <w:top w:val="single" w:sz="4" w:space="0" w:color="auto"/>
              <w:left w:val="nil"/>
              <w:bottom w:val="single" w:sz="4" w:space="0" w:color="auto"/>
              <w:right w:val="single" w:sz="4" w:space="0" w:color="auto"/>
            </w:tcBorders>
            <w:shd w:val="clear" w:color="auto" w:fill="D9D9D9"/>
            <w:vAlign w:val="center"/>
            <w:hideMark/>
          </w:tcPr>
          <w:p w14:paraId="387179B0" w14:textId="77777777" w:rsidR="00F440F5" w:rsidRPr="00DD04FE" w:rsidRDefault="00F440F5">
            <w:pPr>
              <w:rPr>
                <w:rFonts w:cs="Arial"/>
                <w:b/>
                <w:sz w:val="18"/>
                <w:szCs w:val="18"/>
                <w:lang w:val="en-US"/>
              </w:rPr>
            </w:pPr>
            <w:r w:rsidRPr="00DD04FE">
              <w:rPr>
                <w:rFonts w:cs="Arial"/>
                <w:b/>
                <w:sz w:val="18"/>
                <w:szCs w:val="18"/>
                <w:lang w:val="en-US"/>
              </w:rPr>
              <w:t>Drylot</w:t>
            </w:r>
          </w:p>
        </w:tc>
        <w:tc>
          <w:tcPr>
            <w:tcW w:w="586" w:type="pct"/>
            <w:gridSpan w:val="2"/>
            <w:tcBorders>
              <w:top w:val="single" w:sz="4" w:space="0" w:color="auto"/>
              <w:left w:val="nil"/>
              <w:bottom w:val="single" w:sz="4" w:space="0" w:color="auto"/>
              <w:right w:val="single" w:sz="4" w:space="0" w:color="auto"/>
            </w:tcBorders>
            <w:shd w:val="clear" w:color="auto" w:fill="D9D9D9"/>
            <w:vAlign w:val="center"/>
            <w:hideMark/>
          </w:tcPr>
          <w:p w14:paraId="7456178C" w14:textId="77777777" w:rsidR="00F440F5" w:rsidRPr="00DD04FE" w:rsidRDefault="00F440F5">
            <w:pPr>
              <w:rPr>
                <w:rFonts w:cs="Arial"/>
                <w:b/>
                <w:sz w:val="18"/>
                <w:szCs w:val="18"/>
                <w:lang w:val="en-US"/>
              </w:rPr>
            </w:pPr>
            <w:r w:rsidRPr="00DD04FE">
              <w:rPr>
                <w:rFonts w:cs="Arial"/>
                <w:b/>
                <w:sz w:val="18"/>
                <w:szCs w:val="18"/>
                <w:lang w:val="en-US"/>
              </w:rPr>
              <w:t>Pasture/ Range / Paddock</w:t>
            </w:r>
          </w:p>
        </w:tc>
        <w:tc>
          <w:tcPr>
            <w:tcW w:w="518" w:type="pct"/>
            <w:gridSpan w:val="2"/>
            <w:tcBorders>
              <w:top w:val="single" w:sz="4" w:space="0" w:color="auto"/>
              <w:left w:val="nil"/>
              <w:bottom w:val="single" w:sz="4" w:space="0" w:color="auto"/>
              <w:right w:val="single" w:sz="4" w:space="0" w:color="auto"/>
            </w:tcBorders>
            <w:shd w:val="clear" w:color="auto" w:fill="D9D9D9"/>
            <w:vAlign w:val="center"/>
            <w:hideMark/>
          </w:tcPr>
          <w:p w14:paraId="25D2420F" w14:textId="77777777" w:rsidR="00F440F5" w:rsidRPr="00DD04FE" w:rsidRDefault="00F440F5">
            <w:pPr>
              <w:rPr>
                <w:rFonts w:cs="Arial"/>
                <w:b/>
                <w:sz w:val="18"/>
                <w:szCs w:val="18"/>
                <w:lang w:val="en-US"/>
              </w:rPr>
            </w:pPr>
            <w:r w:rsidRPr="00DD04FE">
              <w:rPr>
                <w:rFonts w:cs="Arial"/>
                <w:b/>
                <w:sz w:val="18"/>
                <w:szCs w:val="18"/>
                <w:lang w:val="en-US"/>
              </w:rPr>
              <w:t>Daily spread</w:t>
            </w:r>
          </w:p>
        </w:tc>
        <w:tc>
          <w:tcPr>
            <w:tcW w:w="518" w:type="pct"/>
            <w:gridSpan w:val="2"/>
            <w:tcBorders>
              <w:top w:val="single" w:sz="4" w:space="0" w:color="auto"/>
              <w:left w:val="nil"/>
              <w:bottom w:val="single" w:sz="4" w:space="0" w:color="auto"/>
              <w:right w:val="single" w:sz="4" w:space="0" w:color="auto"/>
            </w:tcBorders>
            <w:shd w:val="clear" w:color="auto" w:fill="D9D9D9"/>
            <w:vAlign w:val="center"/>
            <w:hideMark/>
          </w:tcPr>
          <w:p w14:paraId="0E3CF805" w14:textId="77777777" w:rsidR="00F440F5" w:rsidRPr="00DD04FE" w:rsidRDefault="00F440F5">
            <w:pPr>
              <w:rPr>
                <w:rFonts w:cs="Arial"/>
                <w:b/>
                <w:sz w:val="18"/>
                <w:szCs w:val="18"/>
                <w:lang w:val="en-US"/>
              </w:rPr>
            </w:pPr>
            <w:r w:rsidRPr="00DD04FE">
              <w:rPr>
                <w:rFonts w:cs="Arial"/>
                <w:b/>
                <w:sz w:val="18"/>
                <w:szCs w:val="18"/>
                <w:lang w:val="en-US"/>
              </w:rPr>
              <w:t>Burned for fuel</w:t>
            </w:r>
          </w:p>
        </w:tc>
        <w:tc>
          <w:tcPr>
            <w:tcW w:w="518" w:type="pct"/>
            <w:tcBorders>
              <w:top w:val="single" w:sz="4" w:space="0" w:color="auto"/>
              <w:left w:val="nil"/>
              <w:bottom w:val="single" w:sz="4" w:space="0" w:color="auto"/>
              <w:right w:val="single" w:sz="4" w:space="0" w:color="auto"/>
            </w:tcBorders>
            <w:shd w:val="clear" w:color="auto" w:fill="D9D9D9"/>
            <w:vAlign w:val="center"/>
            <w:hideMark/>
          </w:tcPr>
          <w:p w14:paraId="54037EA1" w14:textId="77777777" w:rsidR="00F440F5" w:rsidRPr="00DD04FE" w:rsidRDefault="00F440F5">
            <w:pPr>
              <w:rPr>
                <w:rFonts w:cs="Arial"/>
                <w:b/>
                <w:sz w:val="18"/>
                <w:szCs w:val="18"/>
                <w:lang w:val="en-US"/>
              </w:rPr>
            </w:pPr>
            <w:r w:rsidRPr="00DD04FE">
              <w:rPr>
                <w:rFonts w:cs="Arial"/>
                <w:b/>
                <w:sz w:val="18"/>
                <w:szCs w:val="18"/>
                <w:lang w:val="en-US"/>
              </w:rPr>
              <w:t>Composting</w:t>
            </w:r>
          </w:p>
        </w:tc>
      </w:tr>
      <w:tr w:rsidR="00F440F5" w14:paraId="366356FE" w14:textId="77777777" w:rsidTr="00F440F5">
        <w:trPr>
          <w:trHeight w:val="715"/>
        </w:trPr>
        <w:tc>
          <w:tcPr>
            <w:tcW w:w="630" w:type="pct"/>
            <w:tcBorders>
              <w:top w:val="nil"/>
              <w:left w:val="single" w:sz="4" w:space="0" w:color="auto"/>
              <w:bottom w:val="single" w:sz="4" w:space="0" w:color="auto"/>
              <w:right w:val="single" w:sz="4" w:space="0" w:color="auto"/>
            </w:tcBorders>
            <w:noWrap/>
            <w:vAlign w:val="bottom"/>
            <w:hideMark/>
          </w:tcPr>
          <w:p w14:paraId="01EC623E" w14:textId="77777777" w:rsidR="00F440F5" w:rsidRDefault="00F440F5">
            <w:pPr>
              <w:rPr>
                <w:rFonts w:cs="Arial"/>
                <w:b/>
                <w:bCs/>
                <w:lang w:val="en-US"/>
              </w:rPr>
            </w:pPr>
            <w:r>
              <w:rPr>
                <w:rFonts w:cs="Arial"/>
                <w:b/>
                <w:bCs/>
                <w:lang w:val="en-US"/>
              </w:rPr>
              <w:lastRenderedPageBreak/>
              <w:t>Fraction observed</w:t>
            </w:r>
          </w:p>
        </w:tc>
        <w:tc>
          <w:tcPr>
            <w:tcW w:w="744" w:type="pct"/>
            <w:tcBorders>
              <w:top w:val="nil"/>
              <w:left w:val="nil"/>
              <w:bottom w:val="single" w:sz="4" w:space="0" w:color="auto"/>
              <w:right w:val="single" w:sz="4" w:space="0" w:color="auto"/>
            </w:tcBorders>
            <w:vAlign w:val="bottom"/>
            <w:hideMark/>
          </w:tcPr>
          <w:p w14:paraId="648199CC" w14:textId="77777777" w:rsidR="00F440F5" w:rsidRDefault="00DD04FE">
            <w:pPr>
              <w:rPr>
                <w:rFonts w:cs="Arial"/>
                <w:lang w:val="en-US"/>
              </w:rPr>
            </w:pPr>
            <w:r>
              <w:rPr>
                <w:rFonts w:cs="Arial"/>
                <w:lang w:val="en-US"/>
              </w:rPr>
              <w:t xml:space="preserve">2 </w:t>
            </w:r>
            <w:r w:rsidR="009F1357">
              <w:rPr>
                <w:rFonts w:cs="Arial"/>
                <w:lang w:val="en-US"/>
              </w:rPr>
              <w:t>%</w:t>
            </w:r>
          </w:p>
        </w:tc>
        <w:tc>
          <w:tcPr>
            <w:tcW w:w="518" w:type="pct"/>
            <w:gridSpan w:val="2"/>
            <w:tcBorders>
              <w:top w:val="nil"/>
              <w:left w:val="nil"/>
              <w:bottom w:val="single" w:sz="4" w:space="0" w:color="auto"/>
              <w:right w:val="single" w:sz="4" w:space="0" w:color="auto"/>
            </w:tcBorders>
            <w:vAlign w:val="bottom"/>
            <w:hideMark/>
          </w:tcPr>
          <w:p w14:paraId="5AF60692" w14:textId="77777777" w:rsidR="00F440F5" w:rsidRDefault="00DD04FE">
            <w:pPr>
              <w:rPr>
                <w:rFonts w:cs="Arial"/>
                <w:lang w:val="en-US"/>
              </w:rPr>
            </w:pPr>
            <w:r>
              <w:rPr>
                <w:rFonts w:cs="Arial"/>
                <w:lang w:val="en-US"/>
              </w:rPr>
              <w:t>2 %</w:t>
            </w:r>
          </w:p>
        </w:tc>
        <w:tc>
          <w:tcPr>
            <w:tcW w:w="518" w:type="pct"/>
            <w:gridSpan w:val="2"/>
            <w:tcBorders>
              <w:top w:val="nil"/>
              <w:left w:val="nil"/>
              <w:bottom w:val="single" w:sz="4" w:space="0" w:color="auto"/>
              <w:right w:val="single" w:sz="4" w:space="0" w:color="auto"/>
            </w:tcBorders>
            <w:vAlign w:val="bottom"/>
            <w:hideMark/>
          </w:tcPr>
          <w:p w14:paraId="2B66E941" w14:textId="77777777" w:rsidR="00F440F5" w:rsidRDefault="00DD04FE">
            <w:pPr>
              <w:rPr>
                <w:rFonts w:cs="Arial"/>
                <w:lang w:val="en-US"/>
              </w:rPr>
            </w:pPr>
            <w:r>
              <w:rPr>
                <w:rFonts w:cs="Arial"/>
                <w:lang w:val="en-US"/>
              </w:rPr>
              <w:t>6 %</w:t>
            </w:r>
          </w:p>
        </w:tc>
        <w:tc>
          <w:tcPr>
            <w:tcW w:w="450" w:type="pct"/>
            <w:gridSpan w:val="2"/>
            <w:tcBorders>
              <w:top w:val="nil"/>
              <w:left w:val="nil"/>
              <w:bottom w:val="single" w:sz="4" w:space="0" w:color="auto"/>
              <w:right w:val="single" w:sz="4" w:space="0" w:color="auto"/>
            </w:tcBorders>
            <w:vAlign w:val="bottom"/>
            <w:hideMark/>
          </w:tcPr>
          <w:p w14:paraId="260F30C4" w14:textId="77777777" w:rsidR="00F440F5" w:rsidRDefault="00DD04FE">
            <w:pPr>
              <w:rPr>
                <w:rFonts w:cs="Arial"/>
                <w:lang w:val="en-US"/>
              </w:rPr>
            </w:pPr>
            <w:r>
              <w:rPr>
                <w:rFonts w:cs="Arial"/>
                <w:lang w:val="en-US"/>
              </w:rPr>
              <w:t>30 %</w:t>
            </w:r>
          </w:p>
        </w:tc>
        <w:tc>
          <w:tcPr>
            <w:tcW w:w="586" w:type="pct"/>
            <w:gridSpan w:val="2"/>
            <w:tcBorders>
              <w:top w:val="nil"/>
              <w:left w:val="nil"/>
              <w:bottom w:val="single" w:sz="4" w:space="0" w:color="auto"/>
              <w:right w:val="single" w:sz="4" w:space="0" w:color="auto"/>
            </w:tcBorders>
            <w:vAlign w:val="bottom"/>
            <w:hideMark/>
          </w:tcPr>
          <w:p w14:paraId="2FCE93FD" w14:textId="77777777" w:rsidR="00F440F5" w:rsidRDefault="00DD04FE">
            <w:pPr>
              <w:rPr>
                <w:rFonts w:cs="Arial"/>
                <w:lang w:val="en-US"/>
              </w:rPr>
            </w:pPr>
            <w:r>
              <w:rPr>
                <w:rFonts w:cs="Arial"/>
                <w:lang w:val="en-US"/>
              </w:rPr>
              <w:t>0 %</w:t>
            </w:r>
          </w:p>
        </w:tc>
        <w:tc>
          <w:tcPr>
            <w:tcW w:w="518" w:type="pct"/>
            <w:gridSpan w:val="2"/>
            <w:tcBorders>
              <w:top w:val="nil"/>
              <w:left w:val="nil"/>
              <w:bottom w:val="single" w:sz="4" w:space="0" w:color="auto"/>
              <w:right w:val="single" w:sz="4" w:space="0" w:color="auto"/>
            </w:tcBorders>
            <w:vAlign w:val="bottom"/>
            <w:hideMark/>
          </w:tcPr>
          <w:p w14:paraId="23102103" w14:textId="77777777" w:rsidR="00F440F5" w:rsidRDefault="00DD04FE">
            <w:pPr>
              <w:rPr>
                <w:rFonts w:cs="Arial"/>
                <w:lang w:val="en-US"/>
              </w:rPr>
            </w:pPr>
            <w:r>
              <w:rPr>
                <w:rFonts w:cs="Arial"/>
                <w:lang w:val="en-US"/>
              </w:rPr>
              <w:t>45 %</w:t>
            </w:r>
          </w:p>
        </w:tc>
        <w:tc>
          <w:tcPr>
            <w:tcW w:w="518" w:type="pct"/>
            <w:gridSpan w:val="2"/>
            <w:tcBorders>
              <w:top w:val="nil"/>
              <w:left w:val="nil"/>
              <w:bottom w:val="single" w:sz="4" w:space="0" w:color="auto"/>
              <w:right w:val="single" w:sz="4" w:space="0" w:color="auto"/>
            </w:tcBorders>
            <w:vAlign w:val="bottom"/>
            <w:hideMark/>
          </w:tcPr>
          <w:p w14:paraId="3CCF2A3C" w14:textId="77777777" w:rsidR="00F440F5" w:rsidRDefault="00DD04FE">
            <w:pPr>
              <w:rPr>
                <w:rFonts w:cs="Arial"/>
                <w:lang w:val="en-US"/>
              </w:rPr>
            </w:pPr>
            <w:r>
              <w:rPr>
                <w:rFonts w:cs="Arial"/>
                <w:lang w:val="en-US"/>
              </w:rPr>
              <w:t>0 %</w:t>
            </w:r>
          </w:p>
        </w:tc>
        <w:tc>
          <w:tcPr>
            <w:tcW w:w="518" w:type="pct"/>
            <w:tcBorders>
              <w:top w:val="nil"/>
              <w:left w:val="nil"/>
              <w:bottom w:val="single" w:sz="4" w:space="0" w:color="auto"/>
              <w:right w:val="single" w:sz="4" w:space="0" w:color="auto"/>
            </w:tcBorders>
            <w:vAlign w:val="bottom"/>
            <w:hideMark/>
          </w:tcPr>
          <w:p w14:paraId="729417D6" w14:textId="77777777" w:rsidR="00F440F5" w:rsidRDefault="00DD04FE">
            <w:pPr>
              <w:rPr>
                <w:rFonts w:cs="Arial"/>
                <w:lang w:val="en-US"/>
              </w:rPr>
            </w:pPr>
            <w:r>
              <w:rPr>
                <w:rFonts w:cs="Arial"/>
                <w:lang w:val="en-US"/>
              </w:rPr>
              <w:t>16 %</w:t>
            </w:r>
          </w:p>
        </w:tc>
      </w:tr>
      <w:tr w:rsidR="00F440F5" w14:paraId="3733C861" w14:textId="77777777" w:rsidTr="00F440F5">
        <w:trPr>
          <w:trHeight w:val="300"/>
        </w:trPr>
        <w:tc>
          <w:tcPr>
            <w:tcW w:w="630" w:type="pct"/>
            <w:tcBorders>
              <w:top w:val="nil"/>
              <w:left w:val="single" w:sz="4" w:space="0" w:color="auto"/>
              <w:bottom w:val="single" w:sz="4" w:space="0" w:color="auto"/>
              <w:right w:val="single" w:sz="4" w:space="0" w:color="auto"/>
            </w:tcBorders>
            <w:noWrap/>
            <w:vAlign w:val="bottom"/>
            <w:hideMark/>
          </w:tcPr>
          <w:p w14:paraId="1C0D17A1" w14:textId="77777777" w:rsidR="00F440F5" w:rsidRDefault="00F440F5">
            <w:pPr>
              <w:rPr>
                <w:rFonts w:cs="Arial"/>
                <w:b/>
                <w:bCs/>
                <w:lang w:val="en-US"/>
              </w:rPr>
            </w:pPr>
            <w:r>
              <w:rPr>
                <w:rFonts w:cs="Arial"/>
                <w:b/>
                <w:bCs/>
                <w:lang w:val="en-US"/>
              </w:rPr>
              <w:t xml:space="preserve">MCF </w:t>
            </w:r>
          </w:p>
          <w:p w14:paraId="3D504EA9" w14:textId="77777777" w:rsidR="00F440F5" w:rsidRDefault="00F440F5">
            <w:pPr>
              <w:rPr>
                <w:rFonts w:cs="Arial"/>
                <w:b/>
                <w:bCs/>
                <w:lang w:val="en-US"/>
              </w:rPr>
            </w:pPr>
            <w:r>
              <w:rPr>
                <w:rFonts w:cs="Arial"/>
                <w:b/>
                <w:bCs/>
                <w:lang w:val="en-US"/>
              </w:rPr>
              <w:t>(at 20 C)</w:t>
            </w:r>
          </w:p>
        </w:tc>
        <w:tc>
          <w:tcPr>
            <w:tcW w:w="744" w:type="pct"/>
            <w:tcBorders>
              <w:top w:val="nil"/>
              <w:left w:val="nil"/>
              <w:bottom w:val="single" w:sz="4" w:space="0" w:color="auto"/>
              <w:right w:val="single" w:sz="4" w:space="0" w:color="auto"/>
            </w:tcBorders>
            <w:noWrap/>
            <w:vAlign w:val="bottom"/>
            <w:hideMark/>
          </w:tcPr>
          <w:p w14:paraId="4CE674B2" w14:textId="77777777" w:rsidR="00F440F5" w:rsidRDefault="00F440F5">
            <w:pPr>
              <w:rPr>
                <w:rFonts w:cs="Arial"/>
                <w:lang w:val="en-US"/>
              </w:rPr>
            </w:pPr>
            <w:r>
              <w:rPr>
                <w:rFonts w:cs="Arial"/>
                <w:lang w:val="en-US"/>
              </w:rPr>
              <w:t>78.0%</w:t>
            </w:r>
          </w:p>
        </w:tc>
        <w:tc>
          <w:tcPr>
            <w:tcW w:w="518" w:type="pct"/>
            <w:gridSpan w:val="2"/>
            <w:tcBorders>
              <w:top w:val="nil"/>
              <w:left w:val="nil"/>
              <w:bottom w:val="single" w:sz="4" w:space="0" w:color="auto"/>
              <w:right w:val="single" w:sz="4" w:space="0" w:color="auto"/>
            </w:tcBorders>
            <w:noWrap/>
            <w:vAlign w:val="bottom"/>
            <w:hideMark/>
          </w:tcPr>
          <w:p w14:paraId="4017BF8F" w14:textId="77777777" w:rsidR="00F440F5" w:rsidRDefault="009F1357">
            <w:pPr>
              <w:rPr>
                <w:rFonts w:cs="Arial"/>
                <w:lang w:val="en-US"/>
              </w:rPr>
            </w:pPr>
            <w:r>
              <w:rPr>
                <w:rFonts w:cs="Arial"/>
                <w:lang w:val="en-US"/>
              </w:rPr>
              <w:t>50</w:t>
            </w:r>
            <w:r w:rsidR="00F440F5">
              <w:rPr>
                <w:rFonts w:cs="Arial"/>
                <w:lang w:val="en-US"/>
              </w:rPr>
              <w:t>%</w:t>
            </w:r>
          </w:p>
        </w:tc>
        <w:tc>
          <w:tcPr>
            <w:tcW w:w="518" w:type="pct"/>
            <w:gridSpan w:val="2"/>
            <w:tcBorders>
              <w:top w:val="nil"/>
              <w:left w:val="nil"/>
              <w:bottom w:val="single" w:sz="4" w:space="0" w:color="auto"/>
              <w:right w:val="single" w:sz="4" w:space="0" w:color="auto"/>
            </w:tcBorders>
            <w:noWrap/>
            <w:vAlign w:val="bottom"/>
            <w:hideMark/>
          </w:tcPr>
          <w:p w14:paraId="6A1CA431" w14:textId="77777777" w:rsidR="00F440F5" w:rsidRDefault="00F440F5">
            <w:pPr>
              <w:rPr>
                <w:rFonts w:cs="Arial"/>
                <w:lang w:val="en-US"/>
              </w:rPr>
            </w:pPr>
            <w:r>
              <w:rPr>
                <w:rFonts w:cs="Arial"/>
                <w:lang w:val="en-US"/>
              </w:rPr>
              <w:t>4.0%</w:t>
            </w:r>
          </w:p>
        </w:tc>
        <w:tc>
          <w:tcPr>
            <w:tcW w:w="450" w:type="pct"/>
            <w:gridSpan w:val="2"/>
            <w:tcBorders>
              <w:top w:val="nil"/>
              <w:left w:val="nil"/>
              <w:bottom w:val="single" w:sz="4" w:space="0" w:color="auto"/>
              <w:right w:val="single" w:sz="4" w:space="0" w:color="auto"/>
            </w:tcBorders>
            <w:noWrap/>
            <w:vAlign w:val="bottom"/>
            <w:hideMark/>
          </w:tcPr>
          <w:p w14:paraId="67D3E46F" w14:textId="77777777" w:rsidR="00F440F5" w:rsidRDefault="00F440F5">
            <w:pPr>
              <w:rPr>
                <w:rFonts w:cs="Arial"/>
                <w:lang w:val="en-US"/>
              </w:rPr>
            </w:pPr>
            <w:r>
              <w:rPr>
                <w:rFonts w:cs="Arial"/>
                <w:lang w:val="en-US"/>
              </w:rPr>
              <w:t>1.5%</w:t>
            </w:r>
          </w:p>
        </w:tc>
        <w:tc>
          <w:tcPr>
            <w:tcW w:w="586" w:type="pct"/>
            <w:gridSpan w:val="2"/>
            <w:tcBorders>
              <w:top w:val="nil"/>
              <w:left w:val="nil"/>
              <w:bottom w:val="single" w:sz="4" w:space="0" w:color="auto"/>
              <w:right w:val="single" w:sz="4" w:space="0" w:color="auto"/>
            </w:tcBorders>
            <w:noWrap/>
            <w:vAlign w:val="bottom"/>
            <w:hideMark/>
          </w:tcPr>
          <w:p w14:paraId="46EF6119" w14:textId="77777777" w:rsidR="00F440F5" w:rsidRDefault="00F440F5">
            <w:pPr>
              <w:rPr>
                <w:rFonts w:cs="Arial"/>
                <w:lang w:val="en-US"/>
              </w:rPr>
            </w:pPr>
            <w:r>
              <w:rPr>
                <w:rFonts w:cs="Arial"/>
                <w:lang w:val="en-US"/>
              </w:rPr>
              <w:t>1.5%</w:t>
            </w:r>
          </w:p>
        </w:tc>
        <w:tc>
          <w:tcPr>
            <w:tcW w:w="518" w:type="pct"/>
            <w:gridSpan w:val="2"/>
            <w:tcBorders>
              <w:top w:val="nil"/>
              <w:left w:val="nil"/>
              <w:bottom w:val="single" w:sz="4" w:space="0" w:color="auto"/>
              <w:right w:val="single" w:sz="4" w:space="0" w:color="auto"/>
            </w:tcBorders>
            <w:noWrap/>
            <w:vAlign w:val="bottom"/>
            <w:hideMark/>
          </w:tcPr>
          <w:p w14:paraId="686CCFB3" w14:textId="77777777" w:rsidR="00F440F5" w:rsidRDefault="00F440F5">
            <w:pPr>
              <w:rPr>
                <w:rFonts w:cs="Arial"/>
                <w:lang w:val="en-US"/>
              </w:rPr>
            </w:pPr>
            <w:r>
              <w:rPr>
                <w:rFonts w:cs="Arial"/>
                <w:lang w:val="en-US"/>
              </w:rPr>
              <w:t>0.5%</w:t>
            </w:r>
          </w:p>
        </w:tc>
        <w:tc>
          <w:tcPr>
            <w:tcW w:w="518" w:type="pct"/>
            <w:gridSpan w:val="2"/>
            <w:tcBorders>
              <w:top w:val="nil"/>
              <w:left w:val="nil"/>
              <w:bottom w:val="single" w:sz="4" w:space="0" w:color="auto"/>
              <w:right w:val="single" w:sz="4" w:space="0" w:color="auto"/>
            </w:tcBorders>
            <w:noWrap/>
            <w:vAlign w:val="bottom"/>
            <w:hideMark/>
          </w:tcPr>
          <w:p w14:paraId="3168FB24" w14:textId="77777777" w:rsidR="00F440F5" w:rsidRDefault="00F440F5">
            <w:pPr>
              <w:rPr>
                <w:rFonts w:cs="Arial"/>
                <w:lang w:val="en-US"/>
              </w:rPr>
            </w:pPr>
            <w:r>
              <w:rPr>
                <w:rFonts w:cs="Arial"/>
                <w:lang w:val="en-US"/>
              </w:rPr>
              <w:t>10.0%</w:t>
            </w:r>
          </w:p>
        </w:tc>
        <w:tc>
          <w:tcPr>
            <w:tcW w:w="518" w:type="pct"/>
            <w:tcBorders>
              <w:top w:val="nil"/>
              <w:left w:val="nil"/>
              <w:bottom w:val="single" w:sz="4" w:space="0" w:color="auto"/>
              <w:right w:val="single" w:sz="4" w:space="0" w:color="auto"/>
            </w:tcBorders>
            <w:noWrap/>
            <w:vAlign w:val="bottom"/>
            <w:hideMark/>
          </w:tcPr>
          <w:p w14:paraId="23776A3F" w14:textId="77777777" w:rsidR="00F440F5" w:rsidRDefault="009F1357">
            <w:pPr>
              <w:rPr>
                <w:rFonts w:cs="Arial"/>
                <w:lang w:val="en-US"/>
              </w:rPr>
            </w:pPr>
            <w:r>
              <w:rPr>
                <w:rFonts w:cs="Arial"/>
                <w:lang w:val="en-US"/>
              </w:rPr>
              <w:t>0.5</w:t>
            </w:r>
            <w:r w:rsidR="00F440F5">
              <w:rPr>
                <w:rFonts w:cs="Arial"/>
                <w:lang w:val="en-US"/>
              </w:rPr>
              <w:t>%</w:t>
            </w:r>
          </w:p>
        </w:tc>
      </w:tr>
      <w:tr w:rsidR="00F440F5" w14:paraId="52510DF7" w14:textId="77777777" w:rsidTr="00F440F5">
        <w:trPr>
          <w:trHeight w:val="300"/>
        </w:trPr>
        <w:tc>
          <w:tcPr>
            <w:tcW w:w="630" w:type="pct"/>
            <w:noWrap/>
            <w:vAlign w:val="bottom"/>
            <w:hideMark/>
          </w:tcPr>
          <w:p w14:paraId="589B14BE" w14:textId="77777777" w:rsidR="00F440F5" w:rsidRDefault="00F440F5">
            <w:pPr>
              <w:rPr>
                <w:rFonts w:cs="Arial"/>
                <w:lang w:val="en-US"/>
              </w:rPr>
            </w:pPr>
          </w:p>
        </w:tc>
        <w:tc>
          <w:tcPr>
            <w:tcW w:w="744" w:type="pct"/>
            <w:noWrap/>
            <w:vAlign w:val="bottom"/>
            <w:hideMark/>
          </w:tcPr>
          <w:p w14:paraId="50779F41" w14:textId="77777777" w:rsidR="00F440F5" w:rsidRDefault="00F440F5">
            <w:pPr>
              <w:jc w:val="left"/>
              <w:rPr>
                <w:rFonts w:ascii="Times New Roman" w:eastAsia="MS Mincho" w:hAnsi="Times New Roman"/>
                <w:sz w:val="20"/>
                <w:lang w:val="en-US" w:eastAsia="en-US"/>
              </w:rPr>
            </w:pPr>
          </w:p>
        </w:tc>
        <w:tc>
          <w:tcPr>
            <w:tcW w:w="296" w:type="pct"/>
            <w:noWrap/>
            <w:vAlign w:val="bottom"/>
            <w:hideMark/>
          </w:tcPr>
          <w:p w14:paraId="18255F7A" w14:textId="77777777" w:rsidR="00F440F5" w:rsidRDefault="00F440F5">
            <w:pPr>
              <w:jc w:val="left"/>
              <w:rPr>
                <w:rFonts w:ascii="Times New Roman" w:eastAsia="MS Mincho" w:hAnsi="Times New Roman"/>
                <w:sz w:val="20"/>
                <w:lang w:val="en-US" w:eastAsia="en-US"/>
              </w:rPr>
            </w:pPr>
          </w:p>
        </w:tc>
        <w:tc>
          <w:tcPr>
            <w:tcW w:w="556" w:type="pct"/>
            <w:gridSpan w:val="2"/>
            <w:noWrap/>
            <w:vAlign w:val="bottom"/>
            <w:hideMark/>
          </w:tcPr>
          <w:p w14:paraId="6CCC7D25" w14:textId="77777777" w:rsidR="00F440F5" w:rsidRDefault="00F440F5">
            <w:pPr>
              <w:jc w:val="left"/>
              <w:rPr>
                <w:rFonts w:ascii="Times New Roman" w:eastAsia="MS Mincho" w:hAnsi="Times New Roman"/>
                <w:sz w:val="20"/>
                <w:lang w:val="en-US" w:eastAsia="en-US"/>
              </w:rPr>
            </w:pPr>
          </w:p>
        </w:tc>
        <w:tc>
          <w:tcPr>
            <w:tcW w:w="556" w:type="pct"/>
            <w:gridSpan w:val="2"/>
            <w:noWrap/>
            <w:vAlign w:val="bottom"/>
            <w:hideMark/>
          </w:tcPr>
          <w:p w14:paraId="7BE9ECA0" w14:textId="77777777" w:rsidR="00F440F5" w:rsidRDefault="00F440F5">
            <w:pPr>
              <w:jc w:val="left"/>
              <w:rPr>
                <w:rFonts w:ascii="Times New Roman" w:eastAsia="MS Mincho" w:hAnsi="Times New Roman"/>
                <w:sz w:val="20"/>
                <w:lang w:val="en-US" w:eastAsia="en-US"/>
              </w:rPr>
            </w:pPr>
          </w:p>
        </w:tc>
        <w:tc>
          <w:tcPr>
            <w:tcW w:w="556" w:type="pct"/>
            <w:gridSpan w:val="2"/>
            <w:noWrap/>
            <w:vAlign w:val="bottom"/>
            <w:hideMark/>
          </w:tcPr>
          <w:p w14:paraId="58279D73" w14:textId="77777777" w:rsidR="00F440F5" w:rsidRDefault="00F440F5">
            <w:pPr>
              <w:jc w:val="left"/>
              <w:rPr>
                <w:rFonts w:ascii="Times New Roman" w:eastAsia="MS Mincho" w:hAnsi="Times New Roman"/>
                <w:sz w:val="20"/>
                <w:lang w:val="en-US" w:eastAsia="en-US"/>
              </w:rPr>
            </w:pPr>
          </w:p>
        </w:tc>
        <w:tc>
          <w:tcPr>
            <w:tcW w:w="556" w:type="pct"/>
            <w:gridSpan w:val="2"/>
            <w:noWrap/>
            <w:vAlign w:val="bottom"/>
            <w:hideMark/>
          </w:tcPr>
          <w:p w14:paraId="02D03134" w14:textId="77777777" w:rsidR="00F440F5" w:rsidRDefault="00F440F5">
            <w:pPr>
              <w:jc w:val="left"/>
              <w:rPr>
                <w:rFonts w:ascii="Times New Roman" w:eastAsia="MS Mincho" w:hAnsi="Times New Roman"/>
                <w:sz w:val="20"/>
                <w:lang w:val="en-US" w:eastAsia="en-US"/>
              </w:rPr>
            </w:pPr>
          </w:p>
        </w:tc>
        <w:tc>
          <w:tcPr>
            <w:tcW w:w="556" w:type="pct"/>
            <w:gridSpan w:val="2"/>
            <w:noWrap/>
            <w:vAlign w:val="bottom"/>
            <w:hideMark/>
          </w:tcPr>
          <w:p w14:paraId="07FC4500" w14:textId="77777777" w:rsidR="00F440F5" w:rsidRDefault="00F440F5">
            <w:pPr>
              <w:jc w:val="left"/>
              <w:rPr>
                <w:rFonts w:ascii="Times New Roman" w:eastAsia="MS Mincho" w:hAnsi="Times New Roman"/>
                <w:sz w:val="20"/>
                <w:lang w:val="en-US" w:eastAsia="en-US"/>
              </w:rPr>
            </w:pPr>
          </w:p>
        </w:tc>
        <w:tc>
          <w:tcPr>
            <w:tcW w:w="550" w:type="pct"/>
            <w:gridSpan w:val="2"/>
            <w:noWrap/>
            <w:vAlign w:val="bottom"/>
            <w:hideMark/>
          </w:tcPr>
          <w:p w14:paraId="73EFD1D0" w14:textId="77777777" w:rsidR="00F440F5" w:rsidRDefault="00F440F5">
            <w:pPr>
              <w:jc w:val="left"/>
              <w:rPr>
                <w:rFonts w:ascii="Times New Roman" w:eastAsia="MS Mincho" w:hAnsi="Times New Roman"/>
                <w:sz w:val="20"/>
                <w:lang w:val="en-US" w:eastAsia="en-US"/>
              </w:rPr>
            </w:pPr>
          </w:p>
        </w:tc>
      </w:tr>
      <w:tr w:rsidR="00F440F5" w14:paraId="780AE9DC" w14:textId="77777777" w:rsidTr="00F440F5">
        <w:trPr>
          <w:trHeight w:val="30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0A919F91" w14:textId="77777777" w:rsidR="00F440F5" w:rsidRDefault="00F440F5">
            <w:pPr>
              <w:rPr>
                <w:rFonts w:cs="Arial"/>
                <w:b/>
                <w:bCs/>
                <w:lang w:val="en-US"/>
              </w:rPr>
            </w:pPr>
            <w:r>
              <w:rPr>
                <w:rFonts w:cs="Arial"/>
                <w:b/>
                <w:bCs/>
                <w:lang w:val="en-US"/>
              </w:rPr>
              <w:t>MCF</w:t>
            </w:r>
            <w:r>
              <w:rPr>
                <w:rFonts w:cs="Arial"/>
                <w:b/>
                <w:bCs/>
                <w:vertAlign w:val="subscript"/>
                <w:lang w:val="en-US"/>
              </w:rPr>
              <w:t>x,k</w:t>
            </w:r>
          </w:p>
        </w:tc>
        <w:tc>
          <w:tcPr>
            <w:tcW w:w="744" w:type="pct"/>
            <w:tcBorders>
              <w:top w:val="single" w:sz="4" w:space="0" w:color="auto"/>
              <w:left w:val="nil"/>
              <w:bottom w:val="single" w:sz="4" w:space="0" w:color="auto"/>
              <w:right w:val="single" w:sz="4" w:space="0" w:color="auto"/>
            </w:tcBorders>
            <w:noWrap/>
            <w:vAlign w:val="bottom"/>
            <w:hideMark/>
          </w:tcPr>
          <w:p w14:paraId="0FA32132" w14:textId="77777777" w:rsidR="00F440F5" w:rsidRDefault="00DD04FE">
            <w:pPr>
              <w:rPr>
                <w:rFonts w:cs="Arial"/>
                <w:lang w:val="en-US"/>
              </w:rPr>
            </w:pPr>
            <w:r>
              <w:rPr>
                <w:rFonts w:cs="Arial"/>
                <w:lang w:val="en-US"/>
              </w:rPr>
              <w:t xml:space="preserve">3.39 </w:t>
            </w:r>
            <w:r w:rsidR="00F440F5">
              <w:rPr>
                <w:rFonts w:cs="Arial"/>
                <w:lang w:val="en-US"/>
              </w:rPr>
              <w:t>%</w:t>
            </w:r>
          </w:p>
        </w:tc>
        <w:tc>
          <w:tcPr>
            <w:tcW w:w="296" w:type="pct"/>
            <w:noWrap/>
            <w:vAlign w:val="bottom"/>
            <w:hideMark/>
          </w:tcPr>
          <w:p w14:paraId="003D3264" w14:textId="77777777" w:rsidR="00F440F5" w:rsidRDefault="00F440F5">
            <w:pPr>
              <w:rPr>
                <w:rFonts w:cs="Arial"/>
                <w:lang w:val="en-US"/>
              </w:rPr>
            </w:pPr>
          </w:p>
        </w:tc>
        <w:tc>
          <w:tcPr>
            <w:tcW w:w="556" w:type="pct"/>
            <w:gridSpan w:val="2"/>
            <w:noWrap/>
            <w:vAlign w:val="bottom"/>
            <w:hideMark/>
          </w:tcPr>
          <w:p w14:paraId="46C2D4C9" w14:textId="77777777" w:rsidR="00F440F5" w:rsidRDefault="00F440F5">
            <w:pPr>
              <w:jc w:val="left"/>
              <w:rPr>
                <w:rFonts w:ascii="Times New Roman" w:eastAsia="MS Mincho" w:hAnsi="Times New Roman"/>
                <w:sz w:val="20"/>
                <w:lang w:val="en-US" w:eastAsia="en-US"/>
              </w:rPr>
            </w:pPr>
          </w:p>
        </w:tc>
        <w:tc>
          <w:tcPr>
            <w:tcW w:w="556" w:type="pct"/>
            <w:gridSpan w:val="2"/>
            <w:noWrap/>
            <w:vAlign w:val="bottom"/>
            <w:hideMark/>
          </w:tcPr>
          <w:p w14:paraId="3B69EE2D" w14:textId="77777777" w:rsidR="00F440F5" w:rsidRDefault="00F440F5">
            <w:pPr>
              <w:jc w:val="left"/>
              <w:rPr>
                <w:rFonts w:ascii="Times New Roman" w:eastAsia="MS Mincho" w:hAnsi="Times New Roman"/>
                <w:sz w:val="20"/>
                <w:lang w:val="en-US" w:eastAsia="en-US"/>
              </w:rPr>
            </w:pPr>
          </w:p>
        </w:tc>
        <w:tc>
          <w:tcPr>
            <w:tcW w:w="556" w:type="pct"/>
            <w:gridSpan w:val="2"/>
            <w:noWrap/>
            <w:vAlign w:val="bottom"/>
            <w:hideMark/>
          </w:tcPr>
          <w:p w14:paraId="69E2FD53" w14:textId="77777777" w:rsidR="00F440F5" w:rsidRDefault="00F440F5">
            <w:pPr>
              <w:jc w:val="left"/>
              <w:rPr>
                <w:rFonts w:ascii="Times New Roman" w:eastAsia="MS Mincho" w:hAnsi="Times New Roman"/>
                <w:sz w:val="20"/>
                <w:lang w:val="en-US" w:eastAsia="en-US"/>
              </w:rPr>
            </w:pPr>
          </w:p>
        </w:tc>
        <w:tc>
          <w:tcPr>
            <w:tcW w:w="556" w:type="pct"/>
            <w:gridSpan w:val="2"/>
            <w:noWrap/>
            <w:vAlign w:val="bottom"/>
            <w:hideMark/>
          </w:tcPr>
          <w:p w14:paraId="441D5635" w14:textId="77777777" w:rsidR="00F440F5" w:rsidRDefault="00F440F5">
            <w:pPr>
              <w:jc w:val="left"/>
              <w:rPr>
                <w:rFonts w:ascii="Times New Roman" w:eastAsia="MS Mincho" w:hAnsi="Times New Roman"/>
                <w:sz w:val="20"/>
                <w:lang w:val="en-US" w:eastAsia="en-US"/>
              </w:rPr>
            </w:pPr>
          </w:p>
        </w:tc>
        <w:tc>
          <w:tcPr>
            <w:tcW w:w="556" w:type="pct"/>
            <w:gridSpan w:val="2"/>
            <w:noWrap/>
            <w:vAlign w:val="bottom"/>
            <w:hideMark/>
          </w:tcPr>
          <w:p w14:paraId="34810F2A" w14:textId="77777777" w:rsidR="00F440F5" w:rsidRDefault="00F440F5">
            <w:pPr>
              <w:jc w:val="left"/>
              <w:rPr>
                <w:rFonts w:ascii="Times New Roman" w:eastAsia="MS Mincho" w:hAnsi="Times New Roman"/>
                <w:sz w:val="20"/>
                <w:lang w:val="en-US" w:eastAsia="en-US"/>
              </w:rPr>
            </w:pPr>
          </w:p>
        </w:tc>
        <w:tc>
          <w:tcPr>
            <w:tcW w:w="550" w:type="pct"/>
            <w:gridSpan w:val="2"/>
            <w:noWrap/>
            <w:vAlign w:val="bottom"/>
            <w:hideMark/>
          </w:tcPr>
          <w:p w14:paraId="562F84EA" w14:textId="77777777" w:rsidR="00F440F5" w:rsidRDefault="00F440F5">
            <w:pPr>
              <w:jc w:val="left"/>
              <w:rPr>
                <w:rFonts w:ascii="Times New Roman" w:eastAsia="MS Mincho" w:hAnsi="Times New Roman"/>
                <w:sz w:val="20"/>
                <w:lang w:val="en-US" w:eastAsia="en-US"/>
              </w:rPr>
            </w:pPr>
          </w:p>
        </w:tc>
      </w:tr>
    </w:tbl>
    <w:p w14:paraId="55BA897E" w14:textId="77777777" w:rsidR="00F440F5" w:rsidRPr="000C7CA3" w:rsidRDefault="00F440F5" w:rsidP="00F440F5">
      <w:pPr>
        <w:rPr>
          <w:rFonts w:cs="Arial"/>
          <w:lang w:eastAsia="en-US"/>
        </w:rPr>
      </w:pPr>
    </w:p>
    <w:p w14:paraId="70398841" w14:textId="77777777" w:rsidR="004F2727" w:rsidRPr="00E246BC" w:rsidRDefault="000978C2" w:rsidP="001E0142">
      <w:pPr>
        <w:pStyle w:val="SDMPDDPoASubSection1"/>
        <w:numPr>
          <w:ilvl w:val="1"/>
          <w:numId w:val="30"/>
        </w:numPr>
      </w:pPr>
      <w:bookmarkStart w:id="15" w:name="_Ref316978578"/>
      <w:r w:rsidRPr="00E246BC">
        <w:t>Estimation of emission reductions</w:t>
      </w:r>
      <w:bookmarkEnd w:id="15"/>
    </w:p>
    <w:p w14:paraId="6A2D0B83" w14:textId="77777777" w:rsidR="000978C2" w:rsidRPr="000C7CA3" w:rsidRDefault="000978C2" w:rsidP="001E0142">
      <w:pPr>
        <w:pStyle w:val="SDMPDDPoASubSection1"/>
        <w:numPr>
          <w:ilvl w:val="2"/>
          <w:numId w:val="30"/>
        </w:numPr>
      </w:pPr>
      <w:r w:rsidRPr="000C7CA3">
        <w:t>Explanation of methodological choices</w:t>
      </w:r>
    </w:p>
    <w:p w14:paraId="5D1FA1FD" w14:textId="77777777" w:rsidR="005E608C" w:rsidRPr="000C7CA3" w:rsidRDefault="005E608C" w:rsidP="00DF3451">
      <w:pPr>
        <w:rPr>
          <w:rFonts w:cs="Arial"/>
          <w:lang w:eastAsia="en-US"/>
        </w:rPr>
      </w:pPr>
      <w:r w:rsidRPr="000C7CA3">
        <w:rPr>
          <w:rFonts w:cs="Arial"/>
          <w:lang w:eastAsia="en-US"/>
        </w:rPr>
        <w:t>&gt;&gt;</w:t>
      </w:r>
    </w:p>
    <w:p w14:paraId="21965B5A" w14:textId="77777777" w:rsidR="008513C4" w:rsidRDefault="008513C4" w:rsidP="00DF3451">
      <w:pPr>
        <w:rPr>
          <w:rFonts w:cs="Arial"/>
          <w:lang w:eastAsia="en-US"/>
        </w:rPr>
      </w:pPr>
      <w:r>
        <w:rPr>
          <w:rFonts w:cs="Arial"/>
          <w:lang w:eastAsia="en-US"/>
        </w:rPr>
        <w:t xml:space="preserve">Please see section B.4.3 below. </w:t>
      </w:r>
    </w:p>
    <w:p w14:paraId="203B4983" w14:textId="77777777" w:rsidR="008513C4" w:rsidRPr="000C7CA3" w:rsidRDefault="008513C4" w:rsidP="00DF3451">
      <w:pPr>
        <w:rPr>
          <w:rFonts w:cs="Arial"/>
          <w:lang w:eastAsia="en-US"/>
        </w:rPr>
      </w:pPr>
    </w:p>
    <w:p w14:paraId="1D7FFAD0" w14:textId="77777777" w:rsidR="000978C2" w:rsidRPr="000C7CA3" w:rsidRDefault="000978C2" w:rsidP="001E0142">
      <w:pPr>
        <w:pStyle w:val="SDMPDDPoASubSection1"/>
        <w:keepLines w:val="0"/>
        <w:numPr>
          <w:ilvl w:val="2"/>
          <w:numId w:val="30"/>
        </w:numPr>
      </w:pPr>
      <w:bookmarkStart w:id="16" w:name="_Ref316943556"/>
      <w:r w:rsidRPr="000C7CA3">
        <w:t>Data and pa</w:t>
      </w:r>
      <w:r w:rsidR="00B76774" w:rsidRPr="000C7CA3">
        <w:t>rameters fixed</w:t>
      </w:r>
      <w:r w:rsidRPr="000C7CA3">
        <w:t xml:space="preserve"> ex</w:t>
      </w:r>
      <w:r w:rsidR="00424954">
        <w:t xml:space="preserve"> </w:t>
      </w:r>
      <w:r w:rsidRPr="000C7CA3">
        <w:t>ante</w:t>
      </w:r>
      <w:bookmarkEnd w:id="16"/>
    </w:p>
    <w:p w14:paraId="51C5B755" w14:textId="77777777" w:rsidR="000978C2" w:rsidRPr="000C7CA3" w:rsidRDefault="000978C2" w:rsidP="00097312">
      <w:pPr>
        <w:pStyle w:val="SDMPDDPoACaption"/>
        <w:keepLines w:val="0"/>
        <w:spacing w:before="120" w:after="60"/>
        <w:ind w:left="124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0978C2" w:rsidRPr="000C7CA3" w14:paraId="59A1D1D4" w14:textId="77777777" w:rsidTr="003D6267">
        <w:trPr>
          <w:cantSplit/>
          <w:jc w:val="center"/>
        </w:trPr>
        <w:tc>
          <w:tcPr>
            <w:tcW w:w="2696" w:type="dxa"/>
            <w:shd w:val="clear" w:color="auto" w:fill="D9D9D9"/>
            <w:tcMar>
              <w:top w:w="28" w:type="dxa"/>
              <w:left w:w="57" w:type="dxa"/>
              <w:bottom w:w="28" w:type="dxa"/>
              <w:right w:w="57" w:type="dxa"/>
            </w:tcMar>
            <w:vAlign w:val="center"/>
          </w:tcPr>
          <w:p w14:paraId="29171371" w14:textId="77777777" w:rsidR="000978C2" w:rsidRPr="00A76316" w:rsidRDefault="000978C2" w:rsidP="00097312">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7551AE8A" w14:textId="77777777" w:rsidR="0080718D" w:rsidRPr="00F50697" w:rsidRDefault="00F50697" w:rsidP="00F50697">
            <w:pPr>
              <w:jc w:val="left"/>
              <w:rPr>
                <w:sz w:val="20"/>
              </w:rPr>
            </w:pPr>
            <w:r w:rsidRPr="00F50697">
              <w:rPr>
                <w:b/>
                <w:sz w:val="20"/>
              </w:rPr>
              <w:t>f</w:t>
            </w:r>
            <w:r w:rsidRPr="00F50697">
              <w:rPr>
                <w:b/>
                <w:sz w:val="20"/>
                <w:vertAlign w:val="subscript"/>
              </w:rPr>
              <w:t>NRB,y</w:t>
            </w:r>
          </w:p>
        </w:tc>
      </w:tr>
      <w:tr w:rsidR="000978C2" w:rsidRPr="000C7CA3" w14:paraId="1CFA7F33" w14:textId="77777777" w:rsidTr="003D6267">
        <w:trPr>
          <w:cantSplit/>
          <w:jc w:val="center"/>
        </w:trPr>
        <w:tc>
          <w:tcPr>
            <w:tcW w:w="2696" w:type="dxa"/>
            <w:shd w:val="clear" w:color="auto" w:fill="D9D9D9"/>
            <w:tcMar>
              <w:top w:w="28" w:type="dxa"/>
              <w:left w:w="57" w:type="dxa"/>
              <w:bottom w:w="28" w:type="dxa"/>
              <w:right w:w="57" w:type="dxa"/>
            </w:tcMar>
            <w:vAlign w:val="center"/>
          </w:tcPr>
          <w:p w14:paraId="2FFB88DC" w14:textId="77777777" w:rsidR="000978C2" w:rsidRPr="003936A5" w:rsidDel="00785F13" w:rsidRDefault="006F20FE" w:rsidP="00097312">
            <w:pPr>
              <w:rPr>
                <w:sz w:val="20"/>
              </w:rPr>
            </w:pPr>
            <w:r>
              <w:rPr>
                <w:sz w:val="20"/>
              </w:rPr>
              <w:t>Data u</w:t>
            </w:r>
            <w:r w:rsidR="000978C2" w:rsidRPr="003936A5">
              <w:rPr>
                <w:sz w:val="20"/>
              </w:rPr>
              <w:t>nit</w:t>
            </w:r>
          </w:p>
        </w:tc>
        <w:tc>
          <w:tcPr>
            <w:tcW w:w="6933" w:type="dxa"/>
            <w:shd w:val="clear" w:color="auto" w:fill="auto"/>
            <w:tcMar>
              <w:top w:w="28" w:type="dxa"/>
              <w:left w:w="57" w:type="dxa"/>
              <w:bottom w:w="28" w:type="dxa"/>
              <w:right w:w="57" w:type="dxa"/>
            </w:tcMar>
            <w:vAlign w:val="center"/>
          </w:tcPr>
          <w:p w14:paraId="5FBE2767" w14:textId="77777777" w:rsidR="000978C2" w:rsidRPr="00F50697" w:rsidRDefault="00F50697" w:rsidP="00F50697">
            <w:pPr>
              <w:jc w:val="left"/>
              <w:rPr>
                <w:sz w:val="20"/>
              </w:rPr>
            </w:pPr>
            <w:r w:rsidRPr="00F50697">
              <w:rPr>
                <w:sz w:val="20"/>
              </w:rPr>
              <w:t>%</w:t>
            </w:r>
          </w:p>
        </w:tc>
      </w:tr>
      <w:tr w:rsidR="000978C2" w:rsidRPr="000C7CA3" w14:paraId="5DD0CE7E" w14:textId="77777777" w:rsidTr="003D6267">
        <w:trPr>
          <w:cantSplit/>
          <w:jc w:val="center"/>
        </w:trPr>
        <w:tc>
          <w:tcPr>
            <w:tcW w:w="2696" w:type="dxa"/>
            <w:shd w:val="clear" w:color="auto" w:fill="D9D9D9"/>
            <w:tcMar>
              <w:top w:w="28" w:type="dxa"/>
              <w:left w:w="57" w:type="dxa"/>
              <w:bottom w:w="28" w:type="dxa"/>
              <w:right w:w="57" w:type="dxa"/>
            </w:tcMar>
            <w:vAlign w:val="center"/>
          </w:tcPr>
          <w:p w14:paraId="50EE86C4" w14:textId="77777777" w:rsidR="000978C2" w:rsidRPr="003936A5" w:rsidRDefault="000978C2" w:rsidP="00097312">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69B4F2BB" w14:textId="77777777" w:rsidR="000978C2" w:rsidRPr="00F50697" w:rsidRDefault="00F50697" w:rsidP="00F50697">
            <w:pPr>
              <w:jc w:val="left"/>
              <w:rPr>
                <w:sz w:val="20"/>
              </w:rPr>
            </w:pPr>
            <w:r w:rsidRPr="00F50697">
              <w:rPr>
                <w:sz w:val="20"/>
              </w:rPr>
              <w:t>Fraction of biomass used in the absence of the project activity in year y that can be established as non-renewable biomass using nationally approved methods</w:t>
            </w:r>
          </w:p>
        </w:tc>
      </w:tr>
      <w:tr w:rsidR="000978C2" w:rsidRPr="000C7CA3" w14:paraId="2EDD993E" w14:textId="77777777" w:rsidTr="003D6267">
        <w:trPr>
          <w:cantSplit/>
          <w:jc w:val="center"/>
        </w:trPr>
        <w:tc>
          <w:tcPr>
            <w:tcW w:w="2696" w:type="dxa"/>
            <w:shd w:val="clear" w:color="auto" w:fill="D9D9D9"/>
            <w:tcMar>
              <w:top w:w="28" w:type="dxa"/>
              <w:left w:w="57" w:type="dxa"/>
              <w:bottom w:w="28" w:type="dxa"/>
              <w:right w:w="57" w:type="dxa"/>
            </w:tcMar>
            <w:vAlign w:val="center"/>
          </w:tcPr>
          <w:p w14:paraId="2E8E9A75" w14:textId="77777777" w:rsidR="000978C2" w:rsidRPr="003936A5" w:rsidRDefault="000978C2" w:rsidP="00097312">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2FC83673" w14:textId="77777777" w:rsidR="000978C2" w:rsidRPr="00F50697" w:rsidRDefault="00F50697" w:rsidP="00F50697">
            <w:pPr>
              <w:jc w:val="left"/>
              <w:rPr>
                <w:sz w:val="20"/>
              </w:rPr>
            </w:pPr>
            <w:r w:rsidRPr="00F50697">
              <w:rPr>
                <w:sz w:val="20"/>
              </w:rPr>
              <w:t xml:space="preserve">Default </w:t>
            </w:r>
            <w:r w:rsidRPr="00F50697">
              <w:rPr>
                <w:b/>
                <w:sz w:val="20"/>
              </w:rPr>
              <w:t>f</w:t>
            </w:r>
            <w:r w:rsidRPr="00F50697">
              <w:rPr>
                <w:b/>
                <w:sz w:val="20"/>
                <w:vertAlign w:val="subscript"/>
              </w:rPr>
              <w:t xml:space="preserve">NRB,y </w:t>
            </w:r>
            <w:r w:rsidRPr="00F50697">
              <w:rPr>
                <w:sz w:val="20"/>
              </w:rPr>
              <w:t xml:space="preserve">factors from the CDM, available from </w:t>
            </w:r>
            <w:hyperlink r:id="rId16" w:history="1">
              <w:r w:rsidRPr="00F50697">
                <w:rPr>
                  <w:rStyle w:val="Hyperlink"/>
                  <w:sz w:val="20"/>
                </w:rPr>
                <w:t>http://cdm.unfccc.int/DNA/fNRB/index.html</w:t>
              </w:r>
            </w:hyperlink>
          </w:p>
        </w:tc>
      </w:tr>
      <w:tr w:rsidR="000978C2" w:rsidRPr="000C7CA3" w14:paraId="5F20E650" w14:textId="77777777" w:rsidTr="003D6267">
        <w:trPr>
          <w:cantSplit/>
          <w:jc w:val="center"/>
        </w:trPr>
        <w:tc>
          <w:tcPr>
            <w:tcW w:w="2696" w:type="dxa"/>
            <w:shd w:val="clear" w:color="auto" w:fill="D9D9D9"/>
            <w:tcMar>
              <w:top w:w="28" w:type="dxa"/>
              <w:left w:w="57" w:type="dxa"/>
              <w:bottom w:w="28" w:type="dxa"/>
              <w:right w:w="57" w:type="dxa"/>
            </w:tcMar>
            <w:vAlign w:val="center"/>
          </w:tcPr>
          <w:p w14:paraId="064CB399" w14:textId="77777777" w:rsidR="000978C2" w:rsidRPr="003936A5" w:rsidRDefault="000978C2" w:rsidP="00097312">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4792A06A" w14:textId="77777777" w:rsidR="000978C2" w:rsidRPr="00F50697" w:rsidRDefault="00F50697" w:rsidP="00F50697">
            <w:pPr>
              <w:jc w:val="left"/>
              <w:rPr>
                <w:sz w:val="20"/>
              </w:rPr>
            </w:pPr>
            <w:r w:rsidRPr="00F50697">
              <w:rPr>
                <w:sz w:val="20"/>
              </w:rPr>
              <w:t>Kenya: 92%</w:t>
            </w:r>
          </w:p>
        </w:tc>
      </w:tr>
      <w:tr w:rsidR="000978C2" w:rsidRPr="000C7CA3" w14:paraId="5DF7BC4E" w14:textId="77777777" w:rsidTr="003D6267">
        <w:trPr>
          <w:cantSplit/>
          <w:jc w:val="center"/>
        </w:trPr>
        <w:tc>
          <w:tcPr>
            <w:tcW w:w="2696" w:type="dxa"/>
            <w:shd w:val="clear" w:color="auto" w:fill="D9D9D9"/>
            <w:tcMar>
              <w:top w:w="28" w:type="dxa"/>
              <w:left w:w="57" w:type="dxa"/>
              <w:bottom w:w="28" w:type="dxa"/>
              <w:right w:w="57" w:type="dxa"/>
            </w:tcMar>
            <w:vAlign w:val="center"/>
          </w:tcPr>
          <w:p w14:paraId="0C3062CF" w14:textId="77777777" w:rsidR="000978C2" w:rsidRPr="003936A5" w:rsidRDefault="000978C2" w:rsidP="00097312">
            <w:pPr>
              <w:jc w:val="left"/>
              <w:rPr>
                <w:sz w:val="20"/>
              </w:rPr>
            </w:pPr>
            <w:r w:rsidRPr="003936A5">
              <w:rPr>
                <w:sz w:val="20"/>
              </w:rPr>
              <w:t>Choice of data</w:t>
            </w:r>
            <w:r w:rsidR="00581FDC" w:rsidRPr="003936A5">
              <w:rPr>
                <w:sz w:val="20"/>
              </w:rPr>
              <w:t xml:space="preserve"> </w:t>
            </w:r>
            <w:r w:rsidRPr="003936A5">
              <w:rPr>
                <w:sz w:val="20"/>
              </w:rPr>
              <w:t>or</w:t>
            </w:r>
            <w:r w:rsidR="00581FDC" w:rsidRPr="003936A5">
              <w:rPr>
                <w:sz w:val="20"/>
              </w:rPr>
              <w:t xml:space="preserve"> </w:t>
            </w:r>
            <w:r w:rsidR="003C5C19" w:rsidRPr="003936A5">
              <w:rPr>
                <w:sz w:val="20"/>
              </w:rPr>
              <w:t>m</w:t>
            </w:r>
            <w:r w:rsidRPr="003936A5">
              <w:rPr>
                <w:sz w:val="20"/>
              </w:rPr>
              <w:t xml:space="preserve">easurement methods and procedures </w:t>
            </w:r>
          </w:p>
        </w:tc>
        <w:tc>
          <w:tcPr>
            <w:tcW w:w="6933" w:type="dxa"/>
            <w:shd w:val="clear" w:color="auto" w:fill="auto"/>
            <w:tcMar>
              <w:top w:w="28" w:type="dxa"/>
              <w:left w:w="57" w:type="dxa"/>
              <w:bottom w:w="28" w:type="dxa"/>
              <w:right w:w="57" w:type="dxa"/>
            </w:tcMar>
            <w:vAlign w:val="center"/>
          </w:tcPr>
          <w:p w14:paraId="374B4736" w14:textId="77777777" w:rsidR="000978C2" w:rsidRPr="00F50697" w:rsidRDefault="00F50697" w:rsidP="00F50697">
            <w:pPr>
              <w:jc w:val="left"/>
              <w:rPr>
                <w:sz w:val="20"/>
              </w:rPr>
            </w:pPr>
            <w:r w:rsidRPr="00F50697">
              <w:rPr>
                <w:sz w:val="20"/>
              </w:rPr>
              <w:t>N/A</w:t>
            </w:r>
          </w:p>
        </w:tc>
      </w:tr>
      <w:tr w:rsidR="000978C2" w:rsidRPr="000C7CA3" w14:paraId="0115B17C" w14:textId="77777777" w:rsidTr="003D6267">
        <w:trPr>
          <w:cantSplit/>
          <w:jc w:val="center"/>
        </w:trPr>
        <w:tc>
          <w:tcPr>
            <w:tcW w:w="2696" w:type="dxa"/>
            <w:shd w:val="clear" w:color="auto" w:fill="D9D9D9"/>
            <w:tcMar>
              <w:top w:w="28" w:type="dxa"/>
              <w:left w:w="57" w:type="dxa"/>
              <w:bottom w:w="28" w:type="dxa"/>
              <w:right w:w="57" w:type="dxa"/>
            </w:tcMar>
            <w:vAlign w:val="center"/>
          </w:tcPr>
          <w:p w14:paraId="03FFE670" w14:textId="77777777" w:rsidR="000978C2" w:rsidRPr="003936A5" w:rsidRDefault="000978C2" w:rsidP="00097312">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0B3811F6" w14:textId="77777777" w:rsidR="000978C2" w:rsidRPr="00F50697" w:rsidRDefault="00F50697" w:rsidP="00F50697">
            <w:pPr>
              <w:jc w:val="left"/>
              <w:rPr>
                <w:sz w:val="20"/>
              </w:rPr>
            </w:pPr>
            <w:r w:rsidRPr="00F50697">
              <w:rPr>
                <w:sz w:val="20"/>
              </w:rPr>
              <w:t>Calculation of baseline and project emissions</w:t>
            </w:r>
          </w:p>
        </w:tc>
      </w:tr>
      <w:tr w:rsidR="000978C2" w:rsidRPr="000C7CA3" w14:paraId="50C30AD3" w14:textId="77777777" w:rsidTr="003D6267">
        <w:trPr>
          <w:cantSplit/>
          <w:jc w:val="center"/>
        </w:trPr>
        <w:tc>
          <w:tcPr>
            <w:tcW w:w="2696" w:type="dxa"/>
            <w:shd w:val="clear" w:color="auto" w:fill="D9D9D9"/>
            <w:tcMar>
              <w:top w:w="28" w:type="dxa"/>
              <w:left w:w="57" w:type="dxa"/>
              <w:bottom w:w="28" w:type="dxa"/>
              <w:right w:w="57" w:type="dxa"/>
            </w:tcMar>
            <w:vAlign w:val="center"/>
          </w:tcPr>
          <w:p w14:paraId="38468E7B" w14:textId="77777777" w:rsidR="000978C2" w:rsidRPr="003936A5" w:rsidRDefault="000978C2" w:rsidP="00097312">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05D4D383" w14:textId="77777777" w:rsidR="000978C2" w:rsidRPr="00F50697" w:rsidRDefault="00762920" w:rsidP="00F50697">
            <w:pPr>
              <w:jc w:val="left"/>
              <w:rPr>
                <w:sz w:val="20"/>
              </w:rPr>
            </w:pPr>
            <w:r>
              <w:rPr>
                <w:sz w:val="20"/>
              </w:rPr>
              <w:t>The fNRB will be renewed at the renewal of the crediting period.</w:t>
            </w:r>
          </w:p>
        </w:tc>
      </w:tr>
    </w:tbl>
    <w:p w14:paraId="6583305E" w14:textId="77777777" w:rsidR="00F50697" w:rsidRDefault="00F50697"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F50697" w:rsidRPr="000C7CA3" w14:paraId="3F54AB58" w14:textId="77777777" w:rsidTr="00DB62CD">
        <w:trPr>
          <w:cantSplit/>
          <w:jc w:val="center"/>
        </w:trPr>
        <w:tc>
          <w:tcPr>
            <w:tcW w:w="2696" w:type="dxa"/>
            <w:shd w:val="clear" w:color="auto" w:fill="D9D9D9"/>
            <w:tcMar>
              <w:top w:w="28" w:type="dxa"/>
              <w:left w:w="57" w:type="dxa"/>
              <w:bottom w:w="28" w:type="dxa"/>
              <w:right w:w="57" w:type="dxa"/>
            </w:tcMar>
            <w:vAlign w:val="center"/>
          </w:tcPr>
          <w:p w14:paraId="74E37FAE" w14:textId="77777777" w:rsidR="00F50697" w:rsidRPr="00A76316" w:rsidRDefault="00F50697" w:rsidP="00DB62CD">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56A627E0" w14:textId="77777777" w:rsidR="00F50697" w:rsidRPr="00A959B2" w:rsidRDefault="00A959B2" w:rsidP="00DB62CD">
            <w:pPr>
              <w:rPr>
                <w:sz w:val="20"/>
              </w:rPr>
            </w:pPr>
            <w:r w:rsidRPr="00A959B2">
              <w:rPr>
                <w:b/>
                <w:bCs/>
                <w:sz w:val="20"/>
              </w:rPr>
              <w:t>BB</w:t>
            </w:r>
            <w:r w:rsidRPr="00A959B2">
              <w:rPr>
                <w:b/>
                <w:bCs/>
                <w:sz w:val="20"/>
                <w:vertAlign w:val="subscript"/>
              </w:rPr>
              <w:t>b1,bio</w:t>
            </w:r>
          </w:p>
        </w:tc>
      </w:tr>
      <w:tr w:rsidR="00F50697" w:rsidRPr="000C7CA3" w14:paraId="2D947BDB" w14:textId="77777777" w:rsidTr="00DB62CD">
        <w:trPr>
          <w:cantSplit/>
          <w:jc w:val="center"/>
        </w:trPr>
        <w:tc>
          <w:tcPr>
            <w:tcW w:w="2696" w:type="dxa"/>
            <w:shd w:val="clear" w:color="auto" w:fill="D9D9D9"/>
            <w:tcMar>
              <w:top w:w="28" w:type="dxa"/>
              <w:left w:w="57" w:type="dxa"/>
              <w:bottom w:w="28" w:type="dxa"/>
              <w:right w:w="57" w:type="dxa"/>
            </w:tcMar>
            <w:vAlign w:val="center"/>
          </w:tcPr>
          <w:p w14:paraId="2E3E292F" w14:textId="77777777" w:rsidR="00F50697" w:rsidRPr="003936A5" w:rsidDel="00785F13" w:rsidRDefault="00F50697" w:rsidP="00DB62CD">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21BEBE3A" w14:textId="77777777" w:rsidR="00F50697" w:rsidRPr="00A959B2" w:rsidRDefault="00A959B2" w:rsidP="00DB62CD">
            <w:pPr>
              <w:rPr>
                <w:sz w:val="20"/>
              </w:rPr>
            </w:pPr>
            <w:r w:rsidRPr="00A959B2">
              <w:rPr>
                <w:bCs/>
                <w:sz w:val="20"/>
              </w:rPr>
              <w:t>Tonnes/year</w:t>
            </w:r>
          </w:p>
        </w:tc>
      </w:tr>
      <w:tr w:rsidR="00F50697" w:rsidRPr="000C7CA3" w14:paraId="08910F2D" w14:textId="77777777" w:rsidTr="00DB62CD">
        <w:trPr>
          <w:cantSplit/>
          <w:jc w:val="center"/>
        </w:trPr>
        <w:tc>
          <w:tcPr>
            <w:tcW w:w="2696" w:type="dxa"/>
            <w:shd w:val="clear" w:color="auto" w:fill="D9D9D9"/>
            <w:tcMar>
              <w:top w:w="28" w:type="dxa"/>
              <w:left w:w="57" w:type="dxa"/>
              <w:bottom w:w="28" w:type="dxa"/>
              <w:right w:w="57" w:type="dxa"/>
            </w:tcMar>
            <w:vAlign w:val="center"/>
          </w:tcPr>
          <w:p w14:paraId="346050A8" w14:textId="77777777" w:rsidR="00F50697" w:rsidRPr="003936A5" w:rsidRDefault="00F50697" w:rsidP="00DB62CD">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6E031D89" w14:textId="77777777" w:rsidR="00F50697" w:rsidRPr="00A959B2" w:rsidRDefault="00A959B2" w:rsidP="00A959B2">
            <w:pPr>
              <w:pStyle w:val="SDMTableBoxParaNotNumbered"/>
              <w:jc w:val="both"/>
            </w:pPr>
            <w:r w:rsidRPr="00A959B2">
              <w:rPr>
                <w:bCs/>
              </w:rPr>
              <w:t>Amount of woody biomass used in the baseline scenario b1</w:t>
            </w:r>
          </w:p>
        </w:tc>
      </w:tr>
      <w:tr w:rsidR="00F50697" w:rsidRPr="000C7CA3" w14:paraId="1E9EFD7D" w14:textId="77777777" w:rsidTr="00DB62CD">
        <w:trPr>
          <w:cantSplit/>
          <w:jc w:val="center"/>
        </w:trPr>
        <w:tc>
          <w:tcPr>
            <w:tcW w:w="2696" w:type="dxa"/>
            <w:shd w:val="clear" w:color="auto" w:fill="D9D9D9"/>
            <w:tcMar>
              <w:top w:w="28" w:type="dxa"/>
              <w:left w:w="57" w:type="dxa"/>
              <w:bottom w:w="28" w:type="dxa"/>
              <w:right w:w="57" w:type="dxa"/>
            </w:tcMar>
            <w:vAlign w:val="center"/>
          </w:tcPr>
          <w:p w14:paraId="3FFFF54F" w14:textId="77777777" w:rsidR="00F50697" w:rsidRPr="003936A5" w:rsidRDefault="00F50697" w:rsidP="00DB62CD">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5972A7DF" w14:textId="77777777" w:rsidR="00F50697" w:rsidRPr="00A959B2" w:rsidRDefault="009F1357" w:rsidP="00625D49">
            <w:pPr>
              <w:rPr>
                <w:sz w:val="20"/>
              </w:rPr>
            </w:pPr>
            <w:r>
              <w:rPr>
                <w:bCs/>
                <w:sz w:val="20"/>
                <w:lang w:val="en-US"/>
              </w:rPr>
              <w:t>KPT primary data 29Sept2015 B1(firewood), sheet ‘90/30 test’</w:t>
            </w:r>
          </w:p>
        </w:tc>
      </w:tr>
      <w:tr w:rsidR="00F50697" w:rsidRPr="000C7CA3" w14:paraId="5B993FC3" w14:textId="77777777" w:rsidTr="00DB62CD">
        <w:trPr>
          <w:cantSplit/>
          <w:jc w:val="center"/>
        </w:trPr>
        <w:tc>
          <w:tcPr>
            <w:tcW w:w="2696" w:type="dxa"/>
            <w:shd w:val="clear" w:color="auto" w:fill="D9D9D9"/>
            <w:tcMar>
              <w:top w:w="28" w:type="dxa"/>
              <w:left w:w="57" w:type="dxa"/>
              <w:bottom w:w="28" w:type="dxa"/>
              <w:right w:w="57" w:type="dxa"/>
            </w:tcMar>
            <w:vAlign w:val="center"/>
          </w:tcPr>
          <w:p w14:paraId="546F7854" w14:textId="77777777" w:rsidR="00F50697" w:rsidRPr="003936A5" w:rsidRDefault="00F50697" w:rsidP="00F50697">
            <w:pPr>
              <w:rPr>
                <w:sz w:val="20"/>
              </w:rPr>
            </w:pPr>
            <w:r w:rsidRPr="003936A5">
              <w:rPr>
                <w:sz w:val="20"/>
              </w:rPr>
              <w:t>Value(s) applied</w:t>
            </w:r>
          </w:p>
        </w:tc>
        <w:tc>
          <w:tcPr>
            <w:tcW w:w="6933" w:type="dxa"/>
            <w:shd w:val="clear" w:color="auto" w:fill="auto"/>
            <w:tcMar>
              <w:top w:w="28" w:type="dxa"/>
              <w:left w:w="57" w:type="dxa"/>
              <w:bottom w:w="28" w:type="dxa"/>
              <w:right w:w="57" w:type="dxa"/>
            </w:tcMar>
          </w:tcPr>
          <w:p w14:paraId="53681923" w14:textId="77777777" w:rsidR="00F50697" w:rsidRPr="00A959B2" w:rsidRDefault="00625D49" w:rsidP="00F50697">
            <w:pPr>
              <w:pStyle w:val="SDMTableBoxParaNotNumbered"/>
            </w:pPr>
            <w:r>
              <w:t>3</w:t>
            </w:r>
            <w:r w:rsidR="0007516F">
              <w:t>.</w:t>
            </w:r>
            <w:r w:rsidR="00A959B2" w:rsidRPr="00A959B2">
              <w:t>66</w:t>
            </w:r>
          </w:p>
        </w:tc>
      </w:tr>
      <w:tr w:rsidR="00F50697" w:rsidRPr="000C7CA3" w14:paraId="213C30A6" w14:textId="77777777" w:rsidTr="00DB62CD">
        <w:trPr>
          <w:cantSplit/>
          <w:jc w:val="center"/>
        </w:trPr>
        <w:tc>
          <w:tcPr>
            <w:tcW w:w="2696" w:type="dxa"/>
            <w:shd w:val="clear" w:color="auto" w:fill="D9D9D9"/>
            <w:tcMar>
              <w:top w:w="28" w:type="dxa"/>
              <w:left w:w="57" w:type="dxa"/>
              <w:bottom w:w="28" w:type="dxa"/>
              <w:right w:w="57" w:type="dxa"/>
            </w:tcMar>
            <w:vAlign w:val="center"/>
          </w:tcPr>
          <w:p w14:paraId="212FF2D5" w14:textId="77777777" w:rsidR="00F50697" w:rsidRPr="003936A5" w:rsidRDefault="00F50697" w:rsidP="00F50697">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4783AACC" w14:textId="77777777" w:rsidR="00F50697" w:rsidRPr="00A959B2" w:rsidRDefault="00E00B28" w:rsidP="00625D49">
            <w:pPr>
              <w:rPr>
                <w:sz w:val="20"/>
              </w:rPr>
            </w:pPr>
            <w:r w:rsidRPr="00E00B28">
              <w:rPr>
                <w:sz w:val="20"/>
              </w:rPr>
              <w:t>Households have been asked how much fuelwood they use</w:t>
            </w:r>
            <w:r w:rsidR="00625D49">
              <w:rPr>
                <w:sz w:val="20"/>
              </w:rPr>
              <w:t xml:space="preserve"> for cooking</w:t>
            </w:r>
            <w:r w:rsidRPr="00E00B28">
              <w:rPr>
                <w:sz w:val="20"/>
              </w:rPr>
              <w:t>, and undergo a Kitchen Performance Test as per the requirements of the TPDDTEC methodology.</w:t>
            </w:r>
          </w:p>
        </w:tc>
      </w:tr>
      <w:tr w:rsidR="00F50697" w:rsidRPr="000C7CA3" w14:paraId="3A4440A6" w14:textId="77777777" w:rsidTr="00DB62CD">
        <w:trPr>
          <w:cantSplit/>
          <w:jc w:val="center"/>
        </w:trPr>
        <w:tc>
          <w:tcPr>
            <w:tcW w:w="2696" w:type="dxa"/>
            <w:shd w:val="clear" w:color="auto" w:fill="D9D9D9"/>
            <w:tcMar>
              <w:top w:w="28" w:type="dxa"/>
              <w:left w:w="57" w:type="dxa"/>
              <w:bottom w:w="28" w:type="dxa"/>
              <w:right w:w="57" w:type="dxa"/>
            </w:tcMar>
            <w:vAlign w:val="center"/>
          </w:tcPr>
          <w:p w14:paraId="1D23104C" w14:textId="77777777" w:rsidR="00F50697" w:rsidRPr="003936A5" w:rsidRDefault="00F50697" w:rsidP="00F50697">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6534EBBB" w14:textId="77777777" w:rsidR="00F50697" w:rsidRPr="00A959B2" w:rsidRDefault="00A959B2" w:rsidP="00F50697">
            <w:pPr>
              <w:rPr>
                <w:sz w:val="20"/>
              </w:rPr>
            </w:pPr>
            <w:r w:rsidRPr="00A959B2">
              <w:rPr>
                <w:bCs/>
                <w:sz w:val="20"/>
              </w:rPr>
              <w:t>Calculation of baseline emissions</w:t>
            </w:r>
          </w:p>
        </w:tc>
      </w:tr>
      <w:tr w:rsidR="00F50697" w:rsidRPr="000C7CA3" w14:paraId="2232FA8A" w14:textId="77777777" w:rsidTr="00DB62CD">
        <w:trPr>
          <w:cantSplit/>
          <w:jc w:val="center"/>
        </w:trPr>
        <w:tc>
          <w:tcPr>
            <w:tcW w:w="2696" w:type="dxa"/>
            <w:shd w:val="clear" w:color="auto" w:fill="D9D9D9"/>
            <w:tcMar>
              <w:top w:w="28" w:type="dxa"/>
              <w:left w:w="57" w:type="dxa"/>
              <w:bottom w:w="28" w:type="dxa"/>
              <w:right w:w="57" w:type="dxa"/>
            </w:tcMar>
            <w:vAlign w:val="center"/>
          </w:tcPr>
          <w:p w14:paraId="6770E05E" w14:textId="77777777" w:rsidR="00F50697" w:rsidRPr="003936A5" w:rsidRDefault="00F50697" w:rsidP="00F50697">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705C5B99" w14:textId="77777777" w:rsidR="00F50697" w:rsidRPr="00A959B2" w:rsidRDefault="00A959B2" w:rsidP="00F50697">
            <w:pPr>
              <w:rPr>
                <w:sz w:val="20"/>
              </w:rPr>
            </w:pPr>
            <w:r w:rsidRPr="00A959B2">
              <w:rPr>
                <w:sz w:val="20"/>
              </w:rPr>
              <w:t>N/A</w:t>
            </w:r>
          </w:p>
        </w:tc>
      </w:tr>
    </w:tbl>
    <w:p w14:paraId="18C240A6" w14:textId="77777777" w:rsidR="00F50697" w:rsidRDefault="00F50697"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F50697" w:rsidRPr="000C7CA3" w14:paraId="21BCA101" w14:textId="77777777" w:rsidTr="00DB62CD">
        <w:trPr>
          <w:cantSplit/>
          <w:jc w:val="center"/>
        </w:trPr>
        <w:tc>
          <w:tcPr>
            <w:tcW w:w="2696" w:type="dxa"/>
            <w:shd w:val="clear" w:color="auto" w:fill="D9D9D9"/>
            <w:tcMar>
              <w:top w:w="28" w:type="dxa"/>
              <w:left w:w="57" w:type="dxa"/>
              <w:bottom w:w="28" w:type="dxa"/>
              <w:right w:w="57" w:type="dxa"/>
            </w:tcMar>
            <w:vAlign w:val="center"/>
          </w:tcPr>
          <w:p w14:paraId="6F36E2D7" w14:textId="77777777" w:rsidR="00F50697" w:rsidRPr="00A76316" w:rsidRDefault="00F50697" w:rsidP="00DB62CD">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27A93756" w14:textId="77777777" w:rsidR="00F50697" w:rsidRPr="00A959B2" w:rsidRDefault="00A959B2" w:rsidP="00DB62CD">
            <w:pPr>
              <w:rPr>
                <w:sz w:val="20"/>
              </w:rPr>
            </w:pPr>
            <w:r w:rsidRPr="00A959B2">
              <w:rPr>
                <w:b/>
                <w:bCs/>
                <w:sz w:val="20"/>
              </w:rPr>
              <w:t>BB</w:t>
            </w:r>
            <w:r w:rsidRPr="00A959B2">
              <w:rPr>
                <w:b/>
                <w:bCs/>
                <w:sz w:val="20"/>
                <w:vertAlign w:val="subscript"/>
              </w:rPr>
              <w:t>b2,bio</w:t>
            </w:r>
          </w:p>
        </w:tc>
      </w:tr>
      <w:tr w:rsidR="00F50697" w:rsidRPr="000C7CA3" w14:paraId="2C2BBD8F" w14:textId="77777777" w:rsidTr="00DB62CD">
        <w:trPr>
          <w:cantSplit/>
          <w:jc w:val="center"/>
        </w:trPr>
        <w:tc>
          <w:tcPr>
            <w:tcW w:w="2696" w:type="dxa"/>
            <w:shd w:val="clear" w:color="auto" w:fill="D9D9D9"/>
            <w:tcMar>
              <w:top w:w="28" w:type="dxa"/>
              <w:left w:w="57" w:type="dxa"/>
              <w:bottom w:w="28" w:type="dxa"/>
              <w:right w:w="57" w:type="dxa"/>
            </w:tcMar>
            <w:vAlign w:val="center"/>
          </w:tcPr>
          <w:p w14:paraId="5C797722" w14:textId="77777777" w:rsidR="00F50697" w:rsidRPr="003936A5" w:rsidDel="00785F13" w:rsidRDefault="00F50697" w:rsidP="00DB62CD">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3ADC300A" w14:textId="77777777" w:rsidR="00F50697" w:rsidRPr="00A959B2" w:rsidRDefault="00A959B2" w:rsidP="00DB62CD">
            <w:pPr>
              <w:rPr>
                <w:sz w:val="20"/>
              </w:rPr>
            </w:pPr>
            <w:r w:rsidRPr="00A959B2">
              <w:rPr>
                <w:bCs/>
                <w:sz w:val="20"/>
              </w:rPr>
              <w:t>Tonnes/year</w:t>
            </w:r>
          </w:p>
        </w:tc>
      </w:tr>
      <w:tr w:rsidR="00F50697" w:rsidRPr="000C7CA3" w14:paraId="16C3E2BA" w14:textId="77777777" w:rsidTr="00DB62CD">
        <w:trPr>
          <w:cantSplit/>
          <w:jc w:val="center"/>
        </w:trPr>
        <w:tc>
          <w:tcPr>
            <w:tcW w:w="2696" w:type="dxa"/>
            <w:shd w:val="clear" w:color="auto" w:fill="D9D9D9"/>
            <w:tcMar>
              <w:top w:w="28" w:type="dxa"/>
              <w:left w:w="57" w:type="dxa"/>
              <w:bottom w:w="28" w:type="dxa"/>
              <w:right w:w="57" w:type="dxa"/>
            </w:tcMar>
            <w:vAlign w:val="center"/>
          </w:tcPr>
          <w:p w14:paraId="2513ED32" w14:textId="77777777" w:rsidR="00F50697" w:rsidRPr="003936A5" w:rsidRDefault="00F50697" w:rsidP="00DB62CD">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087F4D44" w14:textId="77777777" w:rsidR="00F50697" w:rsidRPr="00A959B2" w:rsidRDefault="00A959B2" w:rsidP="00DB62CD">
            <w:pPr>
              <w:rPr>
                <w:sz w:val="20"/>
              </w:rPr>
            </w:pPr>
            <w:r w:rsidRPr="00A959B2">
              <w:rPr>
                <w:bCs/>
                <w:sz w:val="20"/>
              </w:rPr>
              <w:t>Amount of charcoal (in fuel-wood equivalents) used in the baseline scenario b2</w:t>
            </w:r>
          </w:p>
        </w:tc>
      </w:tr>
      <w:tr w:rsidR="00A959B2" w:rsidRPr="000C7CA3" w14:paraId="35C5AC94" w14:textId="77777777" w:rsidTr="00DB62CD">
        <w:trPr>
          <w:cantSplit/>
          <w:jc w:val="center"/>
        </w:trPr>
        <w:tc>
          <w:tcPr>
            <w:tcW w:w="2696" w:type="dxa"/>
            <w:shd w:val="clear" w:color="auto" w:fill="D9D9D9"/>
            <w:tcMar>
              <w:top w:w="28" w:type="dxa"/>
              <w:left w:w="57" w:type="dxa"/>
              <w:bottom w:w="28" w:type="dxa"/>
              <w:right w:w="57" w:type="dxa"/>
            </w:tcMar>
            <w:vAlign w:val="center"/>
          </w:tcPr>
          <w:p w14:paraId="73DDB5CF" w14:textId="77777777" w:rsidR="00A959B2" w:rsidRPr="003936A5" w:rsidRDefault="00A959B2" w:rsidP="00A959B2">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1B94C7E7" w14:textId="77777777" w:rsidR="00A959B2" w:rsidRPr="00A959B2" w:rsidRDefault="009F1357" w:rsidP="00A959B2">
            <w:pPr>
              <w:rPr>
                <w:sz w:val="20"/>
              </w:rPr>
            </w:pPr>
            <w:r w:rsidRPr="009F1357">
              <w:rPr>
                <w:bCs/>
                <w:sz w:val="20"/>
                <w:lang w:val="en-US"/>
              </w:rPr>
              <w:t>20170322 Survey C BFT Sample Size - KE, sheet ‘B2 - 90|30 test'</w:t>
            </w:r>
          </w:p>
        </w:tc>
      </w:tr>
      <w:tr w:rsidR="00A959B2" w:rsidRPr="000C7CA3" w14:paraId="30DADD72" w14:textId="77777777" w:rsidTr="00DB62CD">
        <w:trPr>
          <w:cantSplit/>
          <w:jc w:val="center"/>
        </w:trPr>
        <w:tc>
          <w:tcPr>
            <w:tcW w:w="2696" w:type="dxa"/>
            <w:shd w:val="clear" w:color="auto" w:fill="D9D9D9"/>
            <w:tcMar>
              <w:top w:w="28" w:type="dxa"/>
              <w:left w:w="57" w:type="dxa"/>
              <w:bottom w:w="28" w:type="dxa"/>
              <w:right w:w="57" w:type="dxa"/>
            </w:tcMar>
            <w:vAlign w:val="center"/>
          </w:tcPr>
          <w:p w14:paraId="7B7A846D" w14:textId="77777777" w:rsidR="00A959B2" w:rsidRPr="003936A5" w:rsidRDefault="00A959B2" w:rsidP="00A959B2">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2637418F" w14:textId="77777777" w:rsidR="00A959B2" w:rsidRPr="00A959B2" w:rsidRDefault="0007516F" w:rsidP="00A959B2">
            <w:pPr>
              <w:rPr>
                <w:sz w:val="20"/>
              </w:rPr>
            </w:pPr>
            <w:r>
              <w:rPr>
                <w:sz w:val="20"/>
              </w:rPr>
              <w:t>7.</w:t>
            </w:r>
            <w:r w:rsidR="003F461E">
              <w:rPr>
                <w:sz w:val="20"/>
              </w:rPr>
              <w:t>48</w:t>
            </w:r>
          </w:p>
        </w:tc>
      </w:tr>
      <w:tr w:rsidR="00A959B2" w:rsidRPr="000C7CA3" w14:paraId="1478CFAD" w14:textId="77777777" w:rsidTr="00DB62CD">
        <w:trPr>
          <w:cantSplit/>
          <w:jc w:val="center"/>
        </w:trPr>
        <w:tc>
          <w:tcPr>
            <w:tcW w:w="2696" w:type="dxa"/>
            <w:shd w:val="clear" w:color="auto" w:fill="D9D9D9"/>
            <w:tcMar>
              <w:top w:w="28" w:type="dxa"/>
              <w:left w:w="57" w:type="dxa"/>
              <w:bottom w:w="28" w:type="dxa"/>
              <w:right w:w="57" w:type="dxa"/>
            </w:tcMar>
            <w:vAlign w:val="center"/>
          </w:tcPr>
          <w:p w14:paraId="576E37BA" w14:textId="77777777" w:rsidR="00A959B2" w:rsidRPr="003936A5" w:rsidRDefault="00A959B2" w:rsidP="00A959B2">
            <w:pPr>
              <w:jc w:val="left"/>
              <w:rPr>
                <w:sz w:val="20"/>
              </w:rPr>
            </w:pPr>
            <w:r w:rsidRPr="003936A5">
              <w:rPr>
                <w:sz w:val="20"/>
              </w:rPr>
              <w:lastRenderedPageBreak/>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3A5CC831" w14:textId="77777777" w:rsidR="00A959B2" w:rsidRPr="00A959B2" w:rsidRDefault="00E00B28" w:rsidP="00625D49">
            <w:pPr>
              <w:rPr>
                <w:sz w:val="20"/>
              </w:rPr>
            </w:pPr>
            <w:r w:rsidRPr="00E00B28">
              <w:rPr>
                <w:sz w:val="20"/>
              </w:rPr>
              <w:t xml:space="preserve">Households have been asked how much </w:t>
            </w:r>
            <w:r w:rsidR="00625D49">
              <w:rPr>
                <w:sz w:val="20"/>
              </w:rPr>
              <w:t>charcoal</w:t>
            </w:r>
            <w:r w:rsidR="00625D49" w:rsidRPr="00E00B28">
              <w:rPr>
                <w:sz w:val="20"/>
              </w:rPr>
              <w:t xml:space="preserve"> </w:t>
            </w:r>
            <w:r w:rsidRPr="00E00B28">
              <w:rPr>
                <w:sz w:val="20"/>
              </w:rPr>
              <w:t>they use</w:t>
            </w:r>
            <w:r w:rsidR="00625D49">
              <w:rPr>
                <w:sz w:val="20"/>
              </w:rPr>
              <w:t xml:space="preserve"> for cooking </w:t>
            </w:r>
            <w:r w:rsidRPr="00E00B28">
              <w:rPr>
                <w:sz w:val="20"/>
              </w:rPr>
              <w:t>and undergo a Kitchen Performance Test as per the requirements of the TPDDTEC methodology.</w:t>
            </w:r>
          </w:p>
        </w:tc>
      </w:tr>
      <w:tr w:rsidR="00A959B2" w:rsidRPr="000C7CA3" w14:paraId="0217F0D7" w14:textId="77777777" w:rsidTr="00DB62CD">
        <w:trPr>
          <w:cantSplit/>
          <w:jc w:val="center"/>
        </w:trPr>
        <w:tc>
          <w:tcPr>
            <w:tcW w:w="2696" w:type="dxa"/>
            <w:shd w:val="clear" w:color="auto" w:fill="D9D9D9"/>
            <w:tcMar>
              <w:top w:w="28" w:type="dxa"/>
              <w:left w:w="57" w:type="dxa"/>
              <w:bottom w:w="28" w:type="dxa"/>
              <w:right w:w="57" w:type="dxa"/>
            </w:tcMar>
            <w:vAlign w:val="center"/>
          </w:tcPr>
          <w:p w14:paraId="79C3EB72" w14:textId="77777777" w:rsidR="00A959B2" w:rsidRPr="003936A5" w:rsidRDefault="00A959B2" w:rsidP="00A959B2">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6C2C7F2E" w14:textId="77777777" w:rsidR="00A959B2" w:rsidRPr="00A959B2" w:rsidRDefault="00A959B2" w:rsidP="00A959B2">
            <w:pPr>
              <w:rPr>
                <w:sz w:val="20"/>
              </w:rPr>
            </w:pPr>
            <w:r w:rsidRPr="00A959B2">
              <w:rPr>
                <w:bCs/>
                <w:sz w:val="20"/>
              </w:rPr>
              <w:t>Calculation of baseline emissions</w:t>
            </w:r>
          </w:p>
        </w:tc>
      </w:tr>
      <w:tr w:rsidR="00A959B2" w:rsidRPr="000C7CA3" w14:paraId="1B2835B1" w14:textId="77777777" w:rsidTr="00DB62CD">
        <w:trPr>
          <w:cantSplit/>
          <w:jc w:val="center"/>
        </w:trPr>
        <w:tc>
          <w:tcPr>
            <w:tcW w:w="2696" w:type="dxa"/>
            <w:shd w:val="clear" w:color="auto" w:fill="D9D9D9"/>
            <w:tcMar>
              <w:top w:w="28" w:type="dxa"/>
              <w:left w:w="57" w:type="dxa"/>
              <w:bottom w:w="28" w:type="dxa"/>
              <w:right w:w="57" w:type="dxa"/>
            </w:tcMar>
            <w:vAlign w:val="center"/>
          </w:tcPr>
          <w:p w14:paraId="6B7F1596" w14:textId="77777777" w:rsidR="00A959B2" w:rsidRPr="003936A5" w:rsidRDefault="00A959B2" w:rsidP="00A959B2">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056BFF27" w14:textId="77777777" w:rsidR="00A959B2" w:rsidRPr="00A959B2" w:rsidRDefault="00A959B2" w:rsidP="00A959B2">
            <w:pPr>
              <w:rPr>
                <w:sz w:val="20"/>
              </w:rPr>
            </w:pPr>
            <w:r w:rsidRPr="00A959B2">
              <w:rPr>
                <w:sz w:val="20"/>
              </w:rPr>
              <w:t>N/A</w:t>
            </w:r>
          </w:p>
        </w:tc>
      </w:tr>
    </w:tbl>
    <w:p w14:paraId="70A07574" w14:textId="77777777" w:rsidR="00F50697" w:rsidRDefault="00F50697"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A959B2" w:rsidRPr="000C7CA3" w14:paraId="0518BAF7" w14:textId="77777777" w:rsidTr="0055468C">
        <w:trPr>
          <w:cantSplit/>
          <w:jc w:val="center"/>
        </w:trPr>
        <w:tc>
          <w:tcPr>
            <w:tcW w:w="2696" w:type="dxa"/>
            <w:shd w:val="clear" w:color="auto" w:fill="D9D9D9"/>
            <w:tcMar>
              <w:top w:w="28" w:type="dxa"/>
              <w:left w:w="57" w:type="dxa"/>
              <w:bottom w:w="28" w:type="dxa"/>
              <w:right w:w="57" w:type="dxa"/>
            </w:tcMar>
            <w:vAlign w:val="center"/>
          </w:tcPr>
          <w:p w14:paraId="56C6DF25" w14:textId="77777777" w:rsidR="00A959B2" w:rsidRPr="00A76316" w:rsidRDefault="00A959B2"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266B7FF6" w14:textId="77777777" w:rsidR="00A959B2" w:rsidRPr="00A959B2" w:rsidRDefault="00A959B2" w:rsidP="0055468C">
            <w:pPr>
              <w:rPr>
                <w:sz w:val="20"/>
              </w:rPr>
            </w:pPr>
            <w:r w:rsidRPr="00A959B2">
              <w:rPr>
                <w:b/>
                <w:bCs/>
                <w:sz w:val="20"/>
              </w:rPr>
              <w:t>BB</w:t>
            </w:r>
            <w:r w:rsidRPr="00A959B2">
              <w:rPr>
                <w:b/>
                <w:bCs/>
                <w:sz w:val="20"/>
                <w:vertAlign w:val="subscript"/>
              </w:rPr>
              <w:t>b3,bio</w:t>
            </w:r>
          </w:p>
        </w:tc>
      </w:tr>
      <w:tr w:rsidR="00A959B2" w:rsidRPr="000C7CA3" w14:paraId="50834215" w14:textId="77777777" w:rsidTr="0055468C">
        <w:trPr>
          <w:cantSplit/>
          <w:jc w:val="center"/>
        </w:trPr>
        <w:tc>
          <w:tcPr>
            <w:tcW w:w="2696" w:type="dxa"/>
            <w:shd w:val="clear" w:color="auto" w:fill="D9D9D9"/>
            <w:tcMar>
              <w:top w:w="28" w:type="dxa"/>
              <w:left w:w="57" w:type="dxa"/>
              <w:bottom w:w="28" w:type="dxa"/>
              <w:right w:w="57" w:type="dxa"/>
            </w:tcMar>
            <w:vAlign w:val="center"/>
          </w:tcPr>
          <w:p w14:paraId="20C94ADB" w14:textId="77777777" w:rsidR="00A959B2" w:rsidRPr="003936A5" w:rsidDel="00785F13" w:rsidRDefault="00A959B2"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65498514" w14:textId="77777777" w:rsidR="00A959B2" w:rsidRPr="00A959B2" w:rsidRDefault="00A959B2" w:rsidP="0055468C">
            <w:pPr>
              <w:rPr>
                <w:sz w:val="20"/>
              </w:rPr>
            </w:pPr>
            <w:r w:rsidRPr="00A959B2">
              <w:rPr>
                <w:bCs/>
                <w:sz w:val="20"/>
              </w:rPr>
              <w:t>Tonnes/year</w:t>
            </w:r>
          </w:p>
        </w:tc>
      </w:tr>
      <w:tr w:rsidR="00A959B2" w:rsidRPr="000C7CA3" w14:paraId="79476702" w14:textId="77777777" w:rsidTr="0055468C">
        <w:trPr>
          <w:cantSplit/>
          <w:jc w:val="center"/>
        </w:trPr>
        <w:tc>
          <w:tcPr>
            <w:tcW w:w="2696" w:type="dxa"/>
            <w:shd w:val="clear" w:color="auto" w:fill="D9D9D9"/>
            <w:tcMar>
              <w:top w:w="28" w:type="dxa"/>
              <w:left w:w="57" w:type="dxa"/>
              <w:bottom w:w="28" w:type="dxa"/>
              <w:right w:w="57" w:type="dxa"/>
            </w:tcMar>
            <w:vAlign w:val="center"/>
          </w:tcPr>
          <w:p w14:paraId="568AF618" w14:textId="77777777" w:rsidR="00A959B2" w:rsidRPr="003936A5" w:rsidRDefault="00A959B2"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2C0FE816" w14:textId="77777777" w:rsidR="00A959B2" w:rsidRPr="00A959B2" w:rsidRDefault="00A959B2" w:rsidP="0055468C">
            <w:pPr>
              <w:rPr>
                <w:sz w:val="20"/>
              </w:rPr>
            </w:pPr>
            <w:r w:rsidRPr="00A959B2">
              <w:rPr>
                <w:bCs/>
                <w:sz w:val="20"/>
              </w:rPr>
              <w:t>Amount of fuelwood and charcoal (in fuel-wood equivalents) used in the baseline scenario b3</w:t>
            </w:r>
          </w:p>
        </w:tc>
      </w:tr>
      <w:tr w:rsidR="00A959B2" w:rsidRPr="000C7CA3" w14:paraId="58D2262E" w14:textId="77777777" w:rsidTr="0055468C">
        <w:trPr>
          <w:cantSplit/>
          <w:jc w:val="center"/>
        </w:trPr>
        <w:tc>
          <w:tcPr>
            <w:tcW w:w="2696" w:type="dxa"/>
            <w:shd w:val="clear" w:color="auto" w:fill="D9D9D9"/>
            <w:tcMar>
              <w:top w:w="28" w:type="dxa"/>
              <w:left w:w="57" w:type="dxa"/>
              <w:bottom w:w="28" w:type="dxa"/>
              <w:right w:w="57" w:type="dxa"/>
            </w:tcMar>
            <w:vAlign w:val="center"/>
          </w:tcPr>
          <w:p w14:paraId="4347C1D2" w14:textId="77777777" w:rsidR="00A959B2" w:rsidRPr="003936A5" w:rsidRDefault="00A959B2"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32E36623" w14:textId="77777777" w:rsidR="00A959B2" w:rsidRPr="00A959B2" w:rsidRDefault="009F1357" w:rsidP="0055468C">
            <w:pPr>
              <w:rPr>
                <w:sz w:val="20"/>
              </w:rPr>
            </w:pPr>
            <w:r w:rsidRPr="009F1357">
              <w:rPr>
                <w:bCs/>
                <w:sz w:val="20"/>
                <w:lang w:val="en-US"/>
              </w:rPr>
              <w:t>20170322 Survey C BFT Sample Size - KE, sheet ‘B2 - 90|30 test'</w:t>
            </w:r>
          </w:p>
        </w:tc>
      </w:tr>
      <w:tr w:rsidR="00A959B2" w:rsidRPr="000C7CA3" w14:paraId="1EF35B5D" w14:textId="77777777" w:rsidTr="0055468C">
        <w:trPr>
          <w:cantSplit/>
          <w:jc w:val="center"/>
        </w:trPr>
        <w:tc>
          <w:tcPr>
            <w:tcW w:w="2696" w:type="dxa"/>
            <w:shd w:val="clear" w:color="auto" w:fill="D9D9D9"/>
            <w:tcMar>
              <w:top w:w="28" w:type="dxa"/>
              <w:left w:w="57" w:type="dxa"/>
              <w:bottom w:w="28" w:type="dxa"/>
              <w:right w:w="57" w:type="dxa"/>
            </w:tcMar>
            <w:vAlign w:val="center"/>
          </w:tcPr>
          <w:p w14:paraId="110F87E8" w14:textId="77777777" w:rsidR="00A959B2" w:rsidRPr="003936A5" w:rsidRDefault="00A959B2"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1BDD96EA" w14:textId="77777777" w:rsidR="00A959B2" w:rsidRPr="00A959B2" w:rsidRDefault="003F461E" w:rsidP="0055468C">
            <w:pPr>
              <w:rPr>
                <w:sz w:val="20"/>
              </w:rPr>
            </w:pPr>
            <w:r>
              <w:rPr>
                <w:sz w:val="20"/>
              </w:rPr>
              <w:t>7</w:t>
            </w:r>
            <w:r w:rsidR="0007516F">
              <w:rPr>
                <w:sz w:val="20"/>
              </w:rPr>
              <w:t>.</w:t>
            </w:r>
            <w:r>
              <w:rPr>
                <w:sz w:val="20"/>
              </w:rPr>
              <w:t>06</w:t>
            </w:r>
          </w:p>
        </w:tc>
      </w:tr>
      <w:tr w:rsidR="00A959B2" w:rsidRPr="000C7CA3" w14:paraId="600A6B6A" w14:textId="77777777" w:rsidTr="0055468C">
        <w:trPr>
          <w:cantSplit/>
          <w:jc w:val="center"/>
        </w:trPr>
        <w:tc>
          <w:tcPr>
            <w:tcW w:w="2696" w:type="dxa"/>
            <w:shd w:val="clear" w:color="auto" w:fill="D9D9D9"/>
            <w:tcMar>
              <w:top w:w="28" w:type="dxa"/>
              <w:left w:w="57" w:type="dxa"/>
              <w:bottom w:w="28" w:type="dxa"/>
              <w:right w:w="57" w:type="dxa"/>
            </w:tcMar>
            <w:vAlign w:val="center"/>
          </w:tcPr>
          <w:p w14:paraId="7904B5C8" w14:textId="77777777" w:rsidR="00A959B2" w:rsidRPr="003936A5" w:rsidRDefault="00A959B2"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44BE9FEF" w14:textId="77777777" w:rsidR="00A959B2" w:rsidRPr="00A959B2" w:rsidRDefault="00E00B28" w:rsidP="00625D49">
            <w:pPr>
              <w:rPr>
                <w:sz w:val="20"/>
              </w:rPr>
            </w:pPr>
            <w:r w:rsidRPr="00E00B28">
              <w:rPr>
                <w:sz w:val="20"/>
              </w:rPr>
              <w:t xml:space="preserve">Households have been asked how much fuelwood </w:t>
            </w:r>
            <w:r w:rsidR="00625D49">
              <w:rPr>
                <w:sz w:val="20"/>
              </w:rPr>
              <w:t xml:space="preserve">and charcoal </w:t>
            </w:r>
            <w:r w:rsidRPr="00E00B28">
              <w:rPr>
                <w:sz w:val="20"/>
              </w:rPr>
              <w:t>they use</w:t>
            </w:r>
            <w:r w:rsidR="00625D49">
              <w:rPr>
                <w:sz w:val="20"/>
              </w:rPr>
              <w:t xml:space="preserve"> for cooking</w:t>
            </w:r>
            <w:r w:rsidRPr="00E00B28">
              <w:rPr>
                <w:sz w:val="20"/>
              </w:rPr>
              <w:t>, and how much charcoal they use, and undergo a Kitchen Performance Test as per the requirements of the TPDDTEC methodology.</w:t>
            </w:r>
          </w:p>
        </w:tc>
      </w:tr>
      <w:tr w:rsidR="00A959B2" w:rsidRPr="000C7CA3" w14:paraId="543AC9D6" w14:textId="77777777" w:rsidTr="0055468C">
        <w:trPr>
          <w:cantSplit/>
          <w:jc w:val="center"/>
        </w:trPr>
        <w:tc>
          <w:tcPr>
            <w:tcW w:w="2696" w:type="dxa"/>
            <w:shd w:val="clear" w:color="auto" w:fill="D9D9D9"/>
            <w:tcMar>
              <w:top w:w="28" w:type="dxa"/>
              <w:left w:w="57" w:type="dxa"/>
              <w:bottom w:w="28" w:type="dxa"/>
              <w:right w:w="57" w:type="dxa"/>
            </w:tcMar>
            <w:vAlign w:val="center"/>
          </w:tcPr>
          <w:p w14:paraId="0AC7A850" w14:textId="77777777" w:rsidR="00A959B2" w:rsidRPr="003936A5" w:rsidRDefault="00A959B2"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2890C0A2" w14:textId="77777777" w:rsidR="00A959B2" w:rsidRPr="00A959B2" w:rsidRDefault="00A959B2" w:rsidP="0055468C">
            <w:pPr>
              <w:rPr>
                <w:sz w:val="20"/>
              </w:rPr>
            </w:pPr>
            <w:r w:rsidRPr="00A959B2">
              <w:rPr>
                <w:sz w:val="20"/>
              </w:rPr>
              <w:t xml:space="preserve">Calculation of baseline emissions </w:t>
            </w:r>
          </w:p>
        </w:tc>
      </w:tr>
      <w:tr w:rsidR="00A959B2" w:rsidRPr="000C7CA3" w14:paraId="0AD55938" w14:textId="77777777" w:rsidTr="0055468C">
        <w:trPr>
          <w:cantSplit/>
          <w:jc w:val="center"/>
        </w:trPr>
        <w:tc>
          <w:tcPr>
            <w:tcW w:w="2696" w:type="dxa"/>
            <w:shd w:val="clear" w:color="auto" w:fill="D9D9D9"/>
            <w:tcMar>
              <w:top w:w="28" w:type="dxa"/>
              <w:left w:w="57" w:type="dxa"/>
              <w:bottom w:w="28" w:type="dxa"/>
              <w:right w:w="57" w:type="dxa"/>
            </w:tcMar>
            <w:vAlign w:val="center"/>
          </w:tcPr>
          <w:p w14:paraId="6E5DFF6A" w14:textId="77777777" w:rsidR="00A959B2" w:rsidRPr="003936A5" w:rsidRDefault="00A959B2"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271C7C32" w14:textId="77777777" w:rsidR="00A959B2" w:rsidRPr="00A959B2" w:rsidRDefault="00625D49" w:rsidP="0055468C">
            <w:pPr>
              <w:rPr>
                <w:sz w:val="20"/>
              </w:rPr>
            </w:pPr>
            <w:r>
              <w:rPr>
                <w:sz w:val="20"/>
              </w:rPr>
              <w:t>N/A</w:t>
            </w:r>
          </w:p>
        </w:tc>
      </w:tr>
    </w:tbl>
    <w:p w14:paraId="35CC5EA9" w14:textId="77777777" w:rsidR="00A959B2" w:rsidRDefault="00A959B2"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A959B2" w:rsidRPr="000C7CA3" w14:paraId="31EE3561" w14:textId="77777777" w:rsidTr="0055468C">
        <w:trPr>
          <w:cantSplit/>
          <w:jc w:val="center"/>
        </w:trPr>
        <w:tc>
          <w:tcPr>
            <w:tcW w:w="2696" w:type="dxa"/>
            <w:shd w:val="clear" w:color="auto" w:fill="D9D9D9"/>
            <w:tcMar>
              <w:top w:w="28" w:type="dxa"/>
              <w:left w:w="57" w:type="dxa"/>
              <w:bottom w:w="28" w:type="dxa"/>
              <w:right w:w="57" w:type="dxa"/>
            </w:tcMar>
            <w:vAlign w:val="center"/>
          </w:tcPr>
          <w:p w14:paraId="7C583E66" w14:textId="77777777" w:rsidR="00A959B2" w:rsidRPr="00A76316" w:rsidRDefault="00A959B2"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605EDA6B" w14:textId="77777777" w:rsidR="00A959B2" w:rsidRPr="00A959B2" w:rsidRDefault="00A959B2" w:rsidP="0055468C">
            <w:pPr>
              <w:rPr>
                <w:sz w:val="20"/>
              </w:rPr>
            </w:pPr>
            <w:r w:rsidRPr="00A959B2">
              <w:rPr>
                <w:b/>
                <w:sz w:val="20"/>
              </w:rPr>
              <w:t>EF</w:t>
            </w:r>
            <w:r w:rsidRPr="00A959B2">
              <w:rPr>
                <w:b/>
                <w:sz w:val="20"/>
                <w:vertAlign w:val="subscript"/>
              </w:rPr>
              <w:t>b, bio</w:t>
            </w:r>
          </w:p>
        </w:tc>
      </w:tr>
      <w:tr w:rsidR="00A959B2" w:rsidRPr="000C7CA3" w14:paraId="07FC6B91" w14:textId="77777777" w:rsidTr="0055468C">
        <w:trPr>
          <w:cantSplit/>
          <w:jc w:val="center"/>
        </w:trPr>
        <w:tc>
          <w:tcPr>
            <w:tcW w:w="2696" w:type="dxa"/>
            <w:shd w:val="clear" w:color="auto" w:fill="D9D9D9"/>
            <w:tcMar>
              <w:top w:w="28" w:type="dxa"/>
              <w:left w:w="57" w:type="dxa"/>
              <w:bottom w:w="28" w:type="dxa"/>
              <w:right w:w="57" w:type="dxa"/>
            </w:tcMar>
            <w:vAlign w:val="center"/>
          </w:tcPr>
          <w:p w14:paraId="1A82A368" w14:textId="77777777" w:rsidR="00A959B2" w:rsidRPr="003936A5" w:rsidDel="00785F13" w:rsidRDefault="00A959B2"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20C3861B" w14:textId="77777777" w:rsidR="00A959B2" w:rsidRPr="00A959B2" w:rsidRDefault="00A959B2" w:rsidP="0055468C">
            <w:pPr>
              <w:rPr>
                <w:sz w:val="20"/>
              </w:rPr>
            </w:pPr>
            <w:r w:rsidRPr="00A959B2">
              <w:rPr>
                <w:sz w:val="20"/>
              </w:rPr>
              <w:t>tCO</w:t>
            </w:r>
            <w:r w:rsidRPr="00A959B2">
              <w:rPr>
                <w:sz w:val="20"/>
                <w:vertAlign w:val="subscript"/>
              </w:rPr>
              <w:t>2</w:t>
            </w:r>
            <w:r w:rsidRPr="00A959B2">
              <w:rPr>
                <w:sz w:val="20"/>
              </w:rPr>
              <w:t>/TJ</w:t>
            </w:r>
          </w:p>
        </w:tc>
      </w:tr>
      <w:tr w:rsidR="00A959B2" w:rsidRPr="000C7CA3" w14:paraId="42944C8D" w14:textId="77777777" w:rsidTr="0055468C">
        <w:trPr>
          <w:cantSplit/>
          <w:jc w:val="center"/>
        </w:trPr>
        <w:tc>
          <w:tcPr>
            <w:tcW w:w="2696" w:type="dxa"/>
            <w:shd w:val="clear" w:color="auto" w:fill="D9D9D9"/>
            <w:tcMar>
              <w:top w:w="28" w:type="dxa"/>
              <w:left w:w="57" w:type="dxa"/>
              <w:bottom w:w="28" w:type="dxa"/>
              <w:right w:w="57" w:type="dxa"/>
            </w:tcMar>
            <w:vAlign w:val="center"/>
          </w:tcPr>
          <w:p w14:paraId="79B73E2A" w14:textId="77777777" w:rsidR="00A959B2" w:rsidRPr="003936A5" w:rsidRDefault="00A959B2"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05D8BCB5" w14:textId="77777777" w:rsidR="00A959B2" w:rsidRPr="00A959B2" w:rsidRDefault="00A959B2" w:rsidP="00A959B2">
            <w:pPr>
              <w:pStyle w:val="SDMTableBoxParaNotNumbered"/>
              <w:jc w:val="both"/>
            </w:pPr>
            <w:r w:rsidRPr="00A959B2">
              <w:t>Emission factor of the woody biomass used in baseline scenario b</w:t>
            </w:r>
          </w:p>
          <w:p w14:paraId="66CC3183" w14:textId="77777777" w:rsidR="00A959B2" w:rsidRPr="00A959B2" w:rsidRDefault="00A959B2" w:rsidP="0055468C">
            <w:pPr>
              <w:rPr>
                <w:sz w:val="20"/>
              </w:rPr>
            </w:pPr>
          </w:p>
        </w:tc>
      </w:tr>
      <w:tr w:rsidR="00A959B2" w:rsidRPr="000C7CA3" w14:paraId="0BB7D0E7" w14:textId="77777777" w:rsidTr="0055468C">
        <w:trPr>
          <w:cantSplit/>
          <w:jc w:val="center"/>
        </w:trPr>
        <w:tc>
          <w:tcPr>
            <w:tcW w:w="2696" w:type="dxa"/>
            <w:shd w:val="clear" w:color="auto" w:fill="D9D9D9"/>
            <w:tcMar>
              <w:top w:w="28" w:type="dxa"/>
              <w:left w:w="57" w:type="dxa"/>
              <w:bottom w:w="28" w:type="dxa"/>
              <w:right w:w="57" w:type="dxa"/>
            </w:tcMar>
            <w:vAlign w:val="center"/>
          </w:tcPr>
          <w:p w14:paraId="4E498E85" w14:textId="77777777" w:rsidR="00A959B2" w:rsidRPr="003936A5" w:rsidRDefault="00A959B2"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76ED6139" w14:textId="77777777" w:rsidR="00A959B2" w:rsidRPr="00A959B2" w:rsidRDefault="00A959B2" w:rsidP="0055468C">
            <w:pPr>
              <w:rPr>
                <w:sz w:val="20"/>
              </w:rPr>
            </w:pPr>
            <w:r w:rsidRPr="00A959B2">
              <w:rPr>
                <w:sz w:val="20"/>
              </w:rPr>
              <w:t>2006 IPCC Guidelines for National Greenhouse Gas Inventories</w:t>
            </w:r>
          </w:p>
        </w:tc>
      </w:tr>
      <w:tr w:rsidR="00A959B2" w:rsidRPr="000C7CA3" w14:paraId="50092D5F" w14:textId="77777777" w:rsidTr="0055468C">
        <w:trPr>
          <w:cantSplit/>
          <w:jc w:val="center"/>
        </w:trPr>
        <w:tc>
          <w:tcPr>
            <w:tcW w:w="2696" w:type="dxa"/>
            <w:shd w:val="clear" w:color="auto" w:fill="D9D9D9"/>
            <w:tcMar>
              <w:top w:w="28" w:type="dxa"/>
              <w:left w:w="57" w:type="dxa"/>
              <w:bottom w:w="28" w:type="dxa"/>
              <w:right w:w="57" w:type="dxa"/>
            </w:tcMar>
            <w:vAlign w:val="center"/>
          </w:tcPr>
          <w:p w14:paraId="25D5F7E0" w14:textId="77777777" w:rsidR="00A959B2" w:rsidRPr="003936A5" w:rsidRDefault="00A959B2"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1C930A91" w14:textId="77777777" w:rsidR="00A959B2" w:rsidRPr="00A959B2" w:rsidRDefault="00A959B2" w:rsidP="0055468C">
            <w:pPr>
              <w:rPr>
                <w:sz w:val="20"/>
              </w:rPr>
            </w:pPr>
            <w:r w:rsidRPr="00A959B2">
              <w:rPr>
                <w:sz w:val="20"/>
              </w:rPr>
              <w:t>112</w:t>
            </w:r>
          </w:p>
        </w:tc>
      </w:tr>
      <w:tr w:rsidR="00A959B2" w:rsidRPr="000C7CA3" w14:paraId="4AE87A9F" w14:textId="77777777" w:rsidTr="0055468C">
        <w:trPr>
          <w:cantSplit/>
          <w:jc w:val="center"/>
        </w:trPr>
        <w:tc>
          <w:tcPr>
            <w:tcW w:w="2696" w:type="dxa"/>
            <w:shd w:val="clear" w:color="auto" w:fill="D9D9D9"/>
            <w:tcMar>
              <w:top w:w="28" w:type="dxa"/>
              <w:left w:w="57" w:type="dxa"/>
              <w:bottom w:w="28" w:type="dxa"/>
              <w:right w:w="57" w:type="dxa"/>
            </w:tcMar>
            <w:vAlign w:val="center"/>
          </w:tcPr>
          <w:p w14:paraId="0B1E8768" w14:textId="77777777" w:rsidR="00A959B2" w:rsidRPr="003936A5" w:rsidRDefault="00A959B2"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2D3D57DB" w14:textId="77777777" w:rsidR="00A959B2" w:rsidRPr="00A959B2" w:rsidRDefault="00A959B2" w:rsidP="00A959B2">
            <w:pPr>
              <w:pStyle w:val="SDMTableBoxParaNotNumbered"/>
            </w:pPr>
            <w:r w:rsidRPr="00A959B2">
              <w:t>As per requirement of the methodology and Table 2.3, Chapter 2, Volume 2 of the 2006 IPCC Guidelines.</w:t>
            </w:r>
          </w:p>
          <w:p w14:paraId="25603371" w14:textId="77777777" w:rsidR="00A959B2" w:rsidRPr="00A959B2" w:rsidRDefault="00A959B2" w:rsidP="00A959B2">
            <w:pPr>
              <w:pStyle w:val="SDMTableBoxParaNotNumbered"/>
            </w:pPr>
          </w:p>
          <w:p w14:paraId="76A24971" w14:textId="77777777" w:rsidR="00A959B2" w:rsidRPr="00A959B2" w:rsidRDefault="00A959B2" w:rsidP="00A959B2">
            <w:pPr>
              <w:rPr>
                <w:sz w:val="20"/>
              </w:rPr>
            </w:pPr>
            <w:r w:rsidRPr="00A959B2">
              <w:rPr>
                <w:sz w:val="20"/>
              </w:rPr>
              <w:t>The IPCC is a standard, credible source of emissions factors.</w:t>
            </w:r>
          </w:p>
        </w:tc>
      </w:tr>
      <w:tr w:rsidR="00A959B2" w:rsidRPr="000C7CA3" w14:paraId="5D73EA1A" w14:textId="77777777" w:rsidTr="0055468C">
        <w:trPr>
          <w:cantSplit/>
          <w:jc w:val="center"/>
        </w:trPr>
        <w:tc>
          <w:tcPr>
            <w:tcW w:w="2696" w:type="dxa"/>
            <w:shd w:val="clear" w:color="auto" w:fill="D9D9D9"/>
            <w:tcMar>
              <w:top w:w="28" w:type="dxa"/>
              <w:left w:w="57" w:type="dxa"/>
              <w:bottom w:w="28" w:type="dxa"/>
              <w:right w:w="57" w:type="dxa"/>
            </w:tcMar>
            <w:vAlign w:val="center"/>
          </w:tcPr>
          <w:p w14:paraId="53B5084B" w14:textId="77777777" w:rsidR="00A959B2" w:rsidRPr="003936A5" w:rsidRDefault="00A959B2"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630BF99D" w14:textId="77777777" w:rsidR="00A959B2" w:rsidRPr="00A959B2" w:rsidRDefault="00A959B2" w:rsidP="0055468C">
            <w:pPr>
              <w:rPr>
                <w:sz w:val="20"/>
              </w:rPr>
            </w:pPr>
            <w:r w:rsidRPr="00A959B2">
              <w:rPr>
                <w:sz w:val="20"/>
              </w:rPr>
              <w:t>Calculation of the baseline scenario</w:t>
            </w:r>
          </w:p>
        </w:tc>
      </w:tr>
      <w:tr w:rsidR="00A959B2" w:rsidRPr="000C7CA3" w14:paraId="6AA3FFB8" w14:textId="77777777" w:rsidTr="0055468C">
        <w:trPr>
          <w:cantSplit/>
          <w:jc w:val="center"/>
        </w:trPr>
        <w:tc>
          <w:tcPr>
            <w:tcW w:w="2696" w:type="dxa"/>
            <w:shd w:val="clear" w:color="auto" w:fill="D9D9D9"/>
            <w:tcMar>
              <w:top w:w="28" w:type="dxa"/>
              <w:left w:w="57" w:type="dxa"/>
              <w:bottom w:w="28" w:type="dxa"/>
              <w:right w:w="57" w:type="dxa"/>
            </w:tcMar>
            <w:vAlign w:val="center"/>
          </w:tcPr>
          <w:p w14:paraId="42E8E121" w14:textId="77777777" w:rsidR="00A959B2" w:rsidRPr="003936A5" w:rsidRDefault="00A959B2"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7B118839" w14:textId="77777777" w:rsidR="00A959B2" w:rsidRPr="00A959B2" w:rsidRDefault="00A959B2" w:rsidP="0055468C">
            <w:pPr>
              <w:rPr>
                <w:sz w:val="20"/>
              </w:rPr>
            </w:pPr>
            <w:r w:rsidRPr="00A959B2">
              <w:rPr>
                <w:sz w:val="20"/>
              </w:rPr>
              <w:t>IPCC (2006);</w:t>
            </w:r>
            <w:r w:rsidRPr="00A959B2">
              <w:rPr>
                <w:sz w:val="20"/>
                <w:lang w:val="en-US"/>
              </w:rPr>
              <w:t xml:space="preserve"> May be updated according to any future changes by the IPCC. CO</w:t>
            </w:r>
            <w:r w:rsidRPr="00A959B2">
              <w:rPr>
                <w:sz w:val="20"/>
                <w:vertAlign w:val="subscript"/>
                <w:lang w:val="en-US"/>
              </w:rPr>
              <w:t>2</w:t>
            </w:r>
            <w:r w:rsidRPr="00A959B2">
              <w:rPr>
                <w:sz w:val="20"/>
                <w:lang w:val="en-US"/>
              </w:rPr>
              <w:t xml:space="preserve"> and non-CO</w:t>
            </w:r>
            <w:r w:rsidRPr="00A959B2">
              <w:rPr>
                <w:sz w:val="20"/>
                <w:vertAlign w:val="subscript"/>
                <w:lang w:val="en-US"/>
              </w:rPr>
              <w:t>2</w:t>
            </w:r>
            <w:r w:rsidRPr="00A959B2">
              <w:rPr>
                <w:sz w:val="20"/>
                <w:lang w:val="en-US"/>
              </w:rPr>
              <w:t xml:space="preserve"> emissions factors for charcoal may be estimated from project specific monitoring or alternatively by researching a conservative wood to charcoal production ratio (from IPCC, credible published literature, project-relevant measurement reports, or project-specific monitoring) and multiplying this value by the pertinent EF for wood.</w:t>
            </w:r>
          </w:p>
        </w:tc>
      </w:tr>
    </w:tbl>
    <w:p w14:paraId="3096305A" w14:textId="77777777" w:rsidR="00A959B2" w:rsidRDefault="00A959B2"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A959B2" w:rsidRPr="000C7CA3" w14:paraId="4491DA6D" w14:textId="77777777" w:rsidTr="0055468C">
        <w:trPr>
          <w:cantSplit/>
          <w:jc w:val="center"/>
        </w:trPr>
        <w:tc>
          <w:tcPr>
            <w:tcW w:w="2696" w:type="dxa"/>
            <w:shd w:val="clear" w:color="auto" w:fill="D9D9D9"/>
            <w:tcMar>
              <w:top w:w="28" w:type="dxa"/>
              <w:left w:w="57" w:type="dxa"/>
              <w:bottom w:w="28" w:type="dxa"/>
              <w:right w:w="57" w:type="dxa"/>
            </w:tcMar>
            <w:vAlign w:val="center"/>
          </w:tcPr>
          <w:p w14:paraId="0CC9C5DD" w14:textId="77777777" w:rsidR="00A959B2" w:rsidRPr="00A76316" w:rsidRDefault="00A959B2"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33B8689B" w14:textId="77777777" w:rsidR="00A959B2" w:rsidRPr="00A959B2" w:rsidRDefault="00A959B2" w:rsidP="0055468C">
            <w:pPr>
              <w:rPr>
                <w:sz w:val="20"/>
              </w:rPr>
            </w:pPr>
            <w:r w:rsidRPr="00A959B2">
              <w:rPr>
                <w:b/>
                <w:bCs/>
                <w:sz w:val="20"/>
              </w:rPr>
              <w:t>BB</w:t>
            </w:r>
            <w:r w:rsidRPr="00A959B2">
              <w:rPr>
                <w:b/>
                <w:bCs/>
                <w:sz w:val="20"/>
                <w:vertAlign w:val="subscript"/>
              </w:rPr>
              <w:t>b1,fuel</w:t>
            </w:r>
          </w:p>
        </w:tc>
      </w:tr>
      <w:tr w:rsidR="00A959B2" w:rsidRPr="000C7CA3" w14:paraId="107B03AF" w14:textId="77777777" w:rsidTr="0055468C">
        <w:trPr>
          <w:cantSplit/>
          <w:jc w:val="center"/>
        </w:trPr>
        <w:tc>
          <w:tcPr>
            <w:tcW w:w="2696" w:type="dxa"/>
            <w:shd w:val="clear" w:color="auto" w:fill="D9D9D9"/>
            <w:tcMar>
              <w:top w:w="28" w:type="dxa"/>
              <w:left w:w="57" w:type="dxa"/>
              <w:bottom w:w="28" w:type="dxa"/>
              <w:right w:w="57" w:type="dxa"/>
            </w:tcMar>
            <w:vAlign w:val="center"/>
          </w:tcPr>
          <w:p w14:paraId="2A755274" w14:textId="77777777" w:rsidR="00A959B2" w:rsidRPr="003936A5" w:rsidDel="00785F13" w:rsidRDefault="00A959B2"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71E8F139" w14:textId="77777777" w:rsidR="00A959B2" w:rsidRPr="00A959B2" w:rsidRDefault="00A959B2" w:rsidP="0055468C">
            <w:pPr>
              <w:rPr>
                <w:sz w:val="20"/>
              </w:rPr>
            </w:pPr>
            <w:r w:rsidRPr="00A959B2">
              <w:rPr>
                <w:bCs/>
                <w:sz w:val="20"/>
              </w:rPr>
              <w:t>Tonnes/year</w:t>
            </w:r>
          </w:p>
        </w:tc>
      </w:tr>
      <w:tr w:rsidR="00A959B2" w:rsidRPr="000C7CA3" w14:paraId="68178E4B" w14:textId="77777777" w:rsidTr="0055468C">
        <w:trPr>
          <w:cantSplit/>
          <w:jc w:val="center"/>
        </w:trPr>
        <w:tc>
          <w:tcPr>
            <w:tcW w:w="2696" w:type="dxa"/>
            <w:shd w:val="clear" w:color="auto" w:fill="D9D9D9"/>
            <w:tcMar>
              <w:top w:w="28" w:type="dxa"/>
              <w:left w:w="57" w:type="dxa"/>
              <w:bottom w:w="28" w:type="dxa"/>
              <w:right w:w="57" w:type="dxa"/>
            </w:tcMar>
            <w:vAlign w:val="center"/>
          </w:tcPr>
          <w:p w14:paraId="5A48FA4F" w14:textId="77777777" w:rsidR="00A959B2" w:rsidRPr="003936A5" w:rsidRDefault="00A959B2"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3CB78935" w14:textId="77777777" w:rsidR="00A959B2" w:rsidRPr="00A959B2" w:rsidRDefault="00A959B2" w:rsidP="0055468C">
            <w:pPr>
              <w:rPr>
                <w:sz w:val="20"/>
              </w:rPr>
            </w:pPr>
            <w:r w:rsidRPr="00A959B2">
              <w:rPr>
                <w:bCs/>
                <w:sz w:val="20"/>
              </w:rPr>
              <w:t>Amount of fossil fuels used in baseline scenario b1</w:t>
            </w:r>
          </w:p>
        </w:tc>
      </w:tr>
      <w:tr w:rsidR="00A959B2" w:rsidRPr="000C7CA3" w14:paraId="5BD64733" w14:textId="77777777" w:rsidTr="0055468C">
        <w:trPr>
          <w:cantSplit/>
          <w:jc w:val="center"/>
        </w:trPr>
        <w:tc>
          <w:tcPr>
            <w:tcW w:w="2696" w:type="dxa"/>
            <w:shd w:val="clear" w:color="auto" w:fill="D9D9D9"/>
            <w:tcMar>
              <w:top w:w="28" w:type="dxa"/>
              <w:left w:w="57" w:type="dxa"/>
              <w:bottom w:w="28" w:type="dxa"/>
              <w:right w:w="57" w:type="dxa"/>
            </w:tcMar>
            <w:vAlign w:val="center"/>
          </w:tcPr>
          <w:p w14:paraId="6ABABD7E" w14:textId="77777777" w:rsidR="00A959B2" w:rsidRPr="003936A5" w:rsidRDefault="00A959B2"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19047A58" w14:textId="77777777" w:rsidR="00A959B2" w:rsidRPr="009F1357" w:rsidRDefault="009F1357" w:rsidP="0055468C">
            <w:pPr>
              <w:rPr>
                <w:sz w:val="20"/>
                <w:highlight w:val="yellow"/>
              </w:rPr>
            </w:pPr>
            <w:r w:rsidRPr="00132CF8">
              <w:rPr>
                <w:bCs/>
                <w:sz w:val="20"/>
                <w:lang w:val="en-US"/>
              </w:rPr>
              <w:t>Option 2: Kitchen Performance Test 2014 (Baseline)</w:t>
            </w:r>
          </w:p>
        </w:tc>
      </w:tr>
      <w:tr w:rsidR="00A959B2" w:rsidRPr="000C7CA3" w14:paraId="6DB996E1" w14:textId="77777777" w:rsidTr="0055468C">
        <w:trPr>
          <w:cantSplit/>
          <w:jc w:val="center"/>
        </w:trPr>
        <w:tc>
          <w:tcPr>
            <w:tcW w:w="2696" w:type="dxa"/>
            <w:shd w:val="clear" w:color="auto" w:fill="D9D9D9"/>
            <w:tcMar>
              <w:top w:w="28" w:type="dxa"/>
              <w:left w:w="57" w:type="dxa"/>
              <w:bottom w:w="28" w:type="dxa"/>
              <w:right w:w="57" w:type="dxa"/>
            </w:tcMar>
            <w:vAlign w:val="center"/>
          </w:tcPr>
          <w:p w14:paraId="46766970" w14:textId="77777777" w:rsidR="00A959B2" w:rsidRPr="003936A5" w:rsidRDefault="00A959B2"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47B7B578" w14:textId="77777777" w:rsidR="00A959B2" w:rsidRPr="00A959B2" w:rsidRDefault="00A959B2" w:rsidP="0055468C">
            <w:pPr>
              <w:rPr>
                <w:sz w:val="20"/>
              </w:rPr>
            </w:pPr>
            <w:r w:rsidRPr="00A959B2">
              <w:rPr>
                <w:sz w:val="20"/>
              </w:rPr>
              <w:t>0</w:t>
            </w:r>
          </w:p>
        </w:tc>
      </w:tr>
      <w:tr w:rsidR="00A959B2" w:rsidRPr="000C7CA3" w14:paraId="3D9AC4FC" w14:textId="77777777" w:rsidTr="0055468C">
        <w:trPr>
          <w:cantSplit/>
          <w:jc w:val="center"/>
        </w:trPr>
        <w:tc>
          <w:tcPr>
            <w:tcW w:w="2696" w:type="dxa"/>
            <w:shd w:val="clear" w:color="auto" w:fill="D9D9D9"/>
            <w:tcMar>
              <w:top w:w="28" w:type="dxa"/>
              <w:left w:w="57" w:type="dxa"/>
              <w:bottom w:w="28" w:type="dxa"/>
              <w:right w:w="57" w:type="dxa"/>
            </w:tcMar>
            <w:vAlign w:val="center"/>
          </w:tcPr>
          <w:p w14:paraId="03DE3139" w14:textId="77777777" w:rsidR="00A959B2" w:rsidRPr="003936A5" w:rsidRDefault="00A959B2"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7E13185E" w14:textId="77777777" w:rsidR="00A959B2" w:rsidRPr="00A959B2" w:rsidRDefault="00E00B28" w:rsidP="00625D49">
            <w:pPr>
              <w:rPr>
                <w:sz w:val="20"/>
              </w:rPr>
            </w:pPr>
            <w:r w:rsidRPr="00E00B28">
              <w:rPr>
                <w:sz w:val="20"/>
              </w:rPr>
              <w:t>Households have been asked how much</w:t>
            </w:r>
            <w:r w:rsidR="00625D49">
              <w:rPr>
                <w:sz w:val="20"/>
              </w:rPr>
              <w:t xml:space="preserve"> fossil fuels they use for cooking</w:t>
            </w:r>
            <w:r w:rsidRPr="00E00B28">
              <w:rPr>
                <w:sz w:val="20"/>
              </w:rPr>
              <w:t>, and undergo a Kitchen Performance Test as per the requirements of the TPDDTEC methodology.</w:t>
            </w:r>
          </w:p>
        </w:tc>
      </w:tr>
      <w:tr w:rsidR="00A959B2" w:rsidRPr="000C7CA3" w14:paraId="07E13DF2" w14:textId="77777777" w:rsidTr="0055468C">
        <w:trPr>
          <w:cantSplit/>
          <w:jc w:val="center"/>
        </w:trPr>
        <w:tc>
          <w:tcPr>
            <w:tcW w:w="2696" w:type="dxa"/>
            <w:shd w:val="clear" w:color="auto" w:fill="D9D9D9"/>
            <w:tcMar>
              <w:top w:w="28" w:type="dxa"/>
              <w:left w:w="57" w:type="dxa"/>
              <w:bottom w:w="28" w:type="dxa"/>
              <w:right w:w="57" w:type="dxa"/>
            </w:tcMar>
            <w:vAlign w:val="center"/>
          </w:tcPr>
          <w:p w14:paraId="7583D4AE" w14:textId="77777777" w:rsidR="00A959B2" w:rsidRPr="003936A5" w:rsidRDefault="00A959B2"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5D830EF2" w14:textId="77777777" w:rsidR="00A959B2" w:rsidRPr="00A959B2" w:rsidRDefault="00A959B2" w:rsidP="0055468C">
            <w:pPr>
              <w:rPr>
                <w:sz w:val="20"/>
              </w:rPr>
            </w:pPr>
            <w:r w:rsidRPr="00A959B2">
              <w:rPr>
                <w:bCs/>
                <w:sz w:val="20"/>
              </w:rPr>
              <w:t>Calculation of baseline emissions</w:t>
            </w:r>
          </w:p>
        </w:tc>
      </w:tr>
      <w:tr w:rsidR="00A959B2" w:rsidRPr="000C7CA3" w14:paraId="629FA1F2" w14:textId="77777777" w:rsidTr="0055468C">
        <w:trPr>
          <w:cantSplit/>
          <w:jc w:val="center"/>
        </w:trPr>
        <w:tc>
          <w:tcPr>
            <w:tcW w:w="2696" w:type="dxa"/>
            <w:shd w:val="clear" w:color="auto" w:fill="D9D9D9"/>
            <w:tcMar>
              <w:top w:w="28" w:type="dxa"/>
              <w:left w:w="57" w:type="dxa"/>
              <w:bottom w:w="28" w:type="dxa"/>
              <w:right w:w="57" w:type="dxa"/>
            </w:tcMar>
            <w:vAlign w:val="center"/>
          </w:tcPr>
          <w:p w14:paraId="67123332" w14:textId="77777777" w:rsidR="00A959B2" w:rsidRPr="003936A5" w:rsidRDefault="00A959B2"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4042ED8A" w14:textId="77777777" w:rsidR="00A959B2" w:rsidRPr="00A959B2" w:rsidRDefault="00A959B2" w:rsidP="0055468C">
            <w:pPr>
              <w:rPr>
                <w:sz w:val="20"/>
              </w:rPr>
            </w:pPr>
            <w:r w:rsidRPr="00A959B2">
              <w:rPr>
                <w:sz w:val="20"/>
              </w:rPr>
              <w:t>N/A</w:t>
            </w:r>
          </w:p>
        </w:tc>
      </w:tr>
    </w:tbl>
    <w:p w14:paraId="2114A073" w14:textId="77777777" w:rsidR="00A959B2" w:rsidRDefault="00A959B2"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A959B2" w:rsidRPr="000C7CA3" w14:paraId="2835D8C8" w14:textId="77777777" w:rsidTr="0055468C">
        <w:trPr>
          <w:cantSplit/>
          <w:jc w:val="center"/>
        </w:trPr>
        <w:tc>
          <w:tcPr>
            <w:tcW w:w="2696" w:type="dxa"/>
            <w:shd w:val="clear" w:color="auto" w:fill="D9D9D9"/>
            <w:tcMar>
              <w:top w:w="28" w:type="dxa"/>
              <w:left w:w="57" w:type="dxa"/>
              <w:bottom w:w="28" w:type="dxa"/>
              <w:right w:w="57" w:type="dxa"/>
            </w:tcMar>
            <w:vAlign w:val="center"/>
          </w:tcPr>
          <w:p w14:paraId="2F5C25F5" w14:textId="77777777" w:rsidR="00A959B2" w:rsidRPr="00A76316" w:rsidRDefault="00A959B2"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7D28FB19" w14:textId="77777777" w:rsidR="00A959B2" w:rsidRPr="00902ACA" w:rsidRDefault="00902ACA" w:rsidP="0055468C">
            <w:pPr>
              <w:rPr>
                <w:sz w:val="20"/>
              </w:rPr>
            </w:pPr>
            <w:r w:rsidRPr="00902ACA">
              <w:rPr>
                <w:b/>
                <w:sz w:val="20"/>
              </w:rPr>
              <w:t>EF</w:t>
            </w:r>
            <w:r w:rsidRPr="00902ACA">
              <w:rPr>
                <w:b/>
                <w:sz w:val="20"/>
                <w:vertAlign w:val="subscript"/>
              </w:rPr>
              <w:t>p, bio</w:t>
            </w:r>
          </w:p>
        </w:tc>
      </w:tr>
      <w:tr w:rsidR="00A959B2" w:rsidRPr="000C7CA3" w14:paraId="610100D5" w14:textId="77777777" w:rsidTr="0055468C">
        <w:trPr>
          <w:cantSplit/>
          <w:jc w:val="center"/>
        </w:trPr>
        <w:tc>
          <w:tcPr>
            <w:tcW w:w="2696" w:type="dxa"/>
            <w:shd w:val="clear" w:color="auto" w:fill="D9D9D9"/>
            <w:tcMar>
              <w:top w:w="28" w:type="dxa"/>
              <w:left w:w="57" w:type="dxa"/>
              <w:bottom w:w="28" w:type="dxa"/>
              <w:right w:w="57" w:type="dxa"/>
            </w:tcMar>
            <w:vAlign w:val="center"/>
          </w:tcPr>
          <w:p w14:paraId="34CA3D4F" w14:textId="77777777" w:rsidR="00A959B2" w:rsidRPr="003936A5" w:rsidDel="00785F13" w:rsidRDefault="00A959B2"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4D9ED292" w14:textId="77777777" w:rsidR="00A959B2" w:rsidRPr="00902ACA" w:rsidRDefault="00902ACA" w:rsidP="0055468C">
            <w:pPr>
              <w:rPr>
                <w:sz w:val="20"/>
              </w:rPr>
            </w:pPr>
            <w:r w:rsidRPr="00902ACA">
              <w:rPr>
                <w:sz w:val="20"/>
              </w:rPr>
              <w:t>tCO</w:t>
            </w:r>
            <w:r w:rsidRPr="00902ACA">
              <w:rPr>
                <w:sz w:val="20"/>
                <w:vertAlign w:val="subscript"/>
              </w:rPr>
              <w:t>2</w:t>
            </w:r>
            <w:r w:rsidRPr="00902ACA">
              <w:rPr>
                <w:sz w:val="20"/>
              </w:rPr>
              <w:t>/TJ</w:t>
            </w:r>
          </w:p>
        </w:tc>
      </w:tr>
      <w:tr w:rsidR="00A959B2" w:rsidRPr="000C7CA3" w14:paraId="665C311E" w14:textId="77777777" w:rsidTr="0055468C">
        <w:trPr>
          <w:cantSplit/>
          <w:jc w:val="center"/>
        </w:trPr>
        <w:tc>
          <w:tcPr>
            <w:tcW w:w="2696" w:type="dxa"/>
            <w:shd w:val="clear" w:color="auto" w:fill="D9D9D9"/>
            <w:tcMar>
              <w:top w:w="28" w:type="dxa"/>
              <w:left w:w="57" w:type="dxa"/>
              <w:bottom w:w="28" w:type="dxa"/>
              <w:right w:w="57" w:type="dxa"/>
            </w:tcMar>
            <w:vAlign w:val="center"/>
          </w:tcPr>
          <w:p w14:paraId="7E89C464" w14:textId="77777777" w:rsidR="00A959B2" w:rsidRPr="003936A5" w:rsidRDefault="00A959B2" w:rsidP="0055468C">
            <w:pPr>
              <w:rPr>
                <w:sz w:val="20"/>
              </w:rPr>
            </w:pPr>
            <w:r w:rsidRPr="003936A5">
              <w:rPr>
                <w:sz w:val="20"/>
              </w:rPr>
              <w:lastRenderedPageBreak/>
              <w:t>Description</w:t>
            </w:r>
          </w:p>
        </w:tc>
        <w:tc>
          <w:tcPr>
            <w:tcW w:w="6933" w:type="dxa"/>
            <w:shd w:val="clear" w:color="auto" w:fill="auto"/>
            <w:tcMar>
              <w:top w:w="28" w:type="dxa"/>
              <w:left w:w="57" w:type="dxa"/>
              <w:bottom w:w="28" w:type="dxa"/>
              <w:right w:w="57" w:type="dxa"/>
            </w:tcMar>
            <w:vAlign w:val="center"/>
          </w:tcPr>
          <w:p w14:paraId="06402871" w14:textId="77777777" w:rsidR="00A959B2" w:rsidRPr="00902ACA" w:rsidRDefault="00902ACA" w:rsidP="0055468C">
            <w:pPr>
              <w:rPr>
                <w:sz w:val="20"/>
              </w:rPr>
            </w:pPr>
            <w:r w:rsidRPr="00902ACA">
              <w:rPr>
                <w:sz w:val="20"/>
              </w:rPr>
              <w:t>Emission factor of the woody biomass used in project scenario p</w:t>
            </w:r>
          </w:p>
        </w:tc>
      </w:tr>
      <w:tr w:rsidR="00A959B2" w:rsidRPr="000C7CA3" w14:paraId="5AB41A27" w14:textId="77777777" w:rsidTr="0055468C">
        <w:trPr>
          <w:cantSplit/>
          <w:jc w:val="center"/>
        </w:trPr>
        <w:tc>
          <w:tcPr>
            <w:tcW w:w="2696" w:type="dxa"/>
            <w:shd w:val="clear" w:color="auto" w:fill="D9D9D9"/>
            <w:tcMar>
              <w:top w:w="28" w:type="dxa"/>
              <w:left w:w="57" w:type="dxa"/>
              <w:bottom w:w="28" w:type="dxa"/>
              <w:right w:w="57" w:type="dxa"/>
            </w:tcMar>
            <w:vAlign w:val="center"/>
          </w:tcPr>
          <w:p w14:paraId="79D54355" w14:textId="77777777" w:rsidR="00A959B2" w:rsidRPr="003936A5" w:rsidRDefault="00A959B2"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05850241" w14:textId="77777777" w:rsidR="00A959B2" w:rsidRPr="00902ACA" w:rsidRDefault="00902ACA" w:rsidP="0055468C">
            <w:pPr>
              <w:rPr>
                <w:sz w:val="20"/>
              </w:rPr>
            </w:pPr>
            <w:r w:rsidRPr="00902ACA">
              <w:rPr>
                <w:sz w:val="20"/>
              </w:rPr>
              <w:t>2006 IPCC Guidelines for National Greenhouse Gas Inventories</w:t>
            </w:r>
          </w:p>
        </w:tc>
      </w:tr>
      <w:tr w:rsidR="00A959B2" w:rsidRPr="000C7CA3" w14:paraId="0BF23D3A" w14:textId="77777777" w:rsidTr="0055468C">
        <w:trPr>
          <w:cantSplit/>
          <w:jc w:val="center"/>
        </w:trPr>
        <w:tc>
          <w:tcPr>
            <w:tcW w:w="2696" w:type="dxa"/>
            <w:shd w:val="clear" w:color="auto" w:fill="D9D9D9"/>
            <w:tcMar>
              <w:top w:w="28" w:type="dxa"/>
              <w:left w:w="57" w:type="dxa"/>
              <w:bottom w:w="28" w:type="dxa"/>
              <w:right w:w="57" w:type="dxa"/>
            </w:tcMar>
            <w:vAlign w:val="center"/>
          </w:tcPr>
          <w:p w14:paraId="4A5C4041" w14:textId="77777777" w:rsidR="00A959B2" w:rsidRPr="003936A5" w:rsidRDefault="00A959B2"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5019E1A4" w14:textId="77777777" w:rsidR="00A959B2" w:rsidRPr="00902ACA" w:rsidRDefault="00902ACA" w:rsidP="0055468C">
            <w:pPr>
              <w:rPr>
                <w:sz w:val="20"/>
              </w:rPr>
            </w:pPr>
            <w:r w:rsidRPr="00902ACA">
              <w:rPr>
                <w:sz w:val="20"/>
              </w:rPr>
              <w:t>112</w:t>
            </w:r>
          </w:p>
        </w:tc>
      </w:tr>
      <w:tr w:rsidR="00A959B2" w:rsidRPr="000C7CA3" w14:paraId="3FB167BB" w14:textId="77777777" w:rsidTr="0055468C">
        <w:trPr>
          <w:cantSplit/>
          <w:jc w:val="center"/>
        </w:trPr>
        <w:tc>
          <w:tcPr>
            <w:tcW w:w="2696" w:type="dxa"/>
            <w:shd w:val="clear" w:color="auto" w:fill="D9D9D9"/>
            <w:tcMar>
              <w:top w:w="28" w:type="dxa"/>
              <w:left w:w="57" w:type="dxa"/>
              <w:bottom w:w="28" w:type="dxa"/>
              <w:right w:w="57" w:type="dxa"/>
            </w:tcMar>
            <w:vAlign w:val="center"/>
          </w:tcPr>
          <w:p w14:paraId="67239C14" w14:textId="77777777" w:rsidR="00A959B2" w:rsidRPr="003936A5" w:rsidRDefault="00A959B2"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5C27AC71" w14:textId="77777777" w:rsidR="00902ACA" w:rsidRPr="00902ACA" w:rsidRDefault="00902ACA" w:rsidP="00902ACA">
            <w:pPr>
              <w:pStyle w:val="SDMTableBoxParaNotNumbered"/>
            </w:pPr>
            <w:r w:rsidRPr="00902ACA">
              <w:t>As per requirement of the methodology and Table 2.3, Chapter 2, Volume 2 of the 2006 IPCC Guidelines.</w:t>
            </w:r>
          </w:p>
          <w:p w14:paraId="790F4A95" w14:textId="77777777" w:rsidR="00902ACA" w:rsidRPr="00902ACA" w:rsidRDefault="00902ACA" w:rsidP="00902ACA">
            <w:pPr>
              <w:pStyle w:val="SDMTableBoxParaNotNumbered"/>
            </w:pPr>
          </w:p>
          <w:p w14:paraId="5AAD26AB" w14:textId="77777777" w:rsidR="00A959B2" w:rsidRPr="00902ACA" w:rsidRDefault="00902ACA" w:rsidP="00902ACA">
            <w:pPr>
              <w:rPr>
                <w:sz w:val="20"/>
              </w:rPr>
            </w:pPr>
            <w:r w:rsidRPr="00902ACA">
              <w:rPr>
                <w:sz w:val="20"/>
              </w:rPr>
              <w:t>The IPCC is a standard, credible source of emissions factors</w:t>
            </w:r>
          </w:p>
        </w:tc>
      </w:tr>
      <w:tr w:rsidR="00A959B2" w:rsidRPr="000C7CA3" w14:paraId="6302A960" w14:textId="77777777" w:rsidTr="0055468C">
        <w:trPr>
          <w:cantSplit/>
          <w:jc w:val="center"/>
        </w:trPr>
        <w:tc>
          <w:tcPr>
            <w:tcW w:w="2696" w:type="dxa"/>
            <w:shd w:val="clear" w:color="auto" w:fill="D9D9D9"/>
            <w:tcMar>
              <w:top w:w="28" w:type="dxa"/>
              <w:left w:w="57" w:type="dxa"/>
              <w:bottom w:w="28" w:type="dxa"/>
              <w:right w:w="57" w:type="dxa"/>
            </w:tcMar>
            <w:vAlign w:val="center"/>
          </w:tcPr>
          <w:p w14:paraId="13E54335" w14:textId="77777777" w:rsidR="00A959B2" w:rsidRPr="003936A5" w:rsidRDefault="00A959B2"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5D500CA9" w14:textId="77777777" w:rsidR="00A959B2" w:rsidRPr="00902ACA" w:rsidRDefault="00902ACA" w:rsidP="0055468C">
            <w:pPr>
              <w:rPr>
                <w:sz w:val="20"/>
              </w:rPr>
            </w:pPr>
            <w:r w:rsidRPr="00902ACA">
              <w:rPr>
                <w:sz w:val="20"/>
              </w:rPr>
              <w:t>Calculation of project emissions</w:t>
            </w:r>
          </w:p>
        </w:tc>
      </w:tr>
      <w:tr w:rsidR="00A959B2" w:rsidRPr="000C7CA3" w14:paraId="33C730E9" w14:textId="77777777" w:rsidTr="0055468C">
        <w:trPr>
          <w:cantSplit/>
          <w:jc w:val="center"/>
        </w:trPr>
        <w:tc>
          <w:tcPr>
            <w:tcW w:w="2696" w:type="dxa"/>
            <w:shd w:val="clear" w:color="auto" w:fill="D9D9D9"/>
            <w:tcMar>
              <w:top w:w="28" w:type="dxa"/>
              <w:left w:w="57" w:type="dxa"/>
              <w:bottom w:w="28" w:type="dxa"/>
              <w:right w:w="57" w:type="dxa"/>
            </w:tcMar>
            <w:vAlign w:val="center"/>
          </w:tcPr>
          <w:p w14:paraId="7828BCFC" w14:textId="77777777" w:rsidR="00A959B2" w:rsidRPr="003936A5" w:rsidRDefault="00A959B2"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4DE70C14" w14:textId="77777777" w:rsidR="00A959B2" w:rsidRPr="00902ACA" w:rsidRDefault="00902ACA" w:rsidP="00902ACA">
            <w:pPr>
              <w:pStyle w:val="SDMTableBoxParaNotNumbered"/>
              <w:jc w:val="both"/>
            </w:pPr>
            <w:r w:rsidRPr="00902ACA">
              <w:t>IPCC (2006);</w:t>
            </w:r>
            <w:r w:rsidRPr="00902ACA">
              <w:rPr>
                <w:lang w:val="en-US"/>
              </w:rPr>
              <w:t xml:space="preserve"> May be updated according to any future changes by the IPCC.</w:t>
            </w:r>
          </w:p>
        </w:tc>
      </w:tr>
    </w:tbl>
    <w:p w14:paraId="7BAC25B8" w14:textId="77777777" w:rsidR="00A959B2" w:rsidRDefault="00A959B2"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02ACA" w:rsidRPr="000C7CA3" w14:paraId="520849F2" w14:textId="77777777" w:rsidTr="0055468C">
        <w:trPr>
          <w:cantSplit/>
          <w:jc w:val="center"/>
        </w:trPr>
        <w:tc>
          <w:tcPr>
            <w:tcW w:w="2696" w:type="dxa"/>
            <w:shd w:val="clear" w:color="auto" w:fill="D9D9D9"/>
            <w:tcMar>
              <w:top w:w="28" w:type="dxa"/>
              <w:left w:w="57" w:type="dxa"/>
              <w:bottom w:w="28" w:type="dxa"/>
              <w:right w:w="57" w:type="dxa"/>
            </w:tcMar>
            <w:vAlign w:val="center"/>
          </w:tcPr>
          <w:p w14:paraId="16300433" w14:textId="77777777" w:rsidR="00902ACA" w:rsidRPr="00A76316" w:rsidRDefault="00902ACA"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4B1DD1D9" w14:textId="77777777" w:rsidR="00902ACA" w:rsidRPr="00902ACA" w:rsidRDefault="00902ACA" w:rsidP="0055468C">
            <w:pPr>
              <w:rPr>
                <w:sz w:val="20"/>
              </w:rPr>
            </w:pPr>
            <w:r w:rsidRPr="00902ACA">
              <w:rPr>
                <w:b/>
                <w:sz w:val="20"/>
              </w:rPr>
              <w:t>NCV</w:t>
            </w:r>
            <w:r w:rsidRPr="00902ACA">
              <w:rPr>
                <w:b/>
                <w:sz w:val="20"/>
                <w:vertAlign w:val="subscript"/>
              </w:rPr>
              <w:t>bio</w:t>
            </w:r>
          </w:p>
        </w:tc>
      </w:tr>
      <w:tr w:rsidR="00902ACA" w:rsidRPr="000C7CA3" w14:paraId="0E5DE14D" w14:textId="77777777" w:rsidTr="0055468C">
        <w:trPr>
          <w:cantSplit/>
          <w:jc w:val="center"/>
        </w:trPr>
        <w:tc>
          <w:tcPr>
            <w:tcW w:w="2696" w:type="dxa"/>
            <w:shd w:val="clear" w:color="auto" w:fill="D9D9D9"/>
            <w:tcMar>
              <w:top w:w="28" w:type="dxa"/>
              <w:left w:w="57" w:type="dxa"/>
              <w:bottom w:w="28" w:type="dxa"/>
              <w:right w:w="57" w:type="dxa"/>
            </w:tcMar>
            <w:vAlign w:val="center"/>
          </w:tcPr>
          <w:p w14:paraId="2309BA22" w14:textId="77777777" w:rsidR="00902ACA" w:rsidRPr="003936A5" w:rsidDel="00785F13" w:rsidRDefault="00902ACA"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47366F6F" w14:textId="77777777" w:rsidR="00902ACA" w:rsidRPr="00902ACA" w:rsidRDefault="00902ACA" w:rsidP="0055468C">
            <w:pPr>
              <w:rPr>
                <w:sz w:val="20"/>
              </w:rPr>
            </w:pPr>
            <w:r w:rsidRPr="00902ACA">
              <w:rPr>
                <w:sz w:val="20"/>
              </w:rPr>
              <w:t>TJ/tonne</w:t>
            </w:r>
          </w:p>
        </w:tc>
      </w:tr>
      <w:tr w:rsidR="00902ACA" w:rsidRPr="000C7CA3" w14:paraId="3D9CE87E" w14:textId="77777777" w:rsidTr="0055468C">
        <w:trPr>
          <w:cantSplit/>
          <w:jc w:val="center"/>
        </w:trPr>
        <w:tc>
          <w:tcPr>
            <w:tcW w:w="2696" w:type="dxa"/>
            <w:shd w:val="clear" w:color="auto" w:fill="D9D9D9"/>
            <w:tcMar>
              <w:top w:w="28" w:type="dxa"/>
              <w:left w:w="57" w:type="dxa"/>
              <w:bottom w:w="28" w:type="dxa"/>
              <w:right w:w="57" w:type="dxa"/>
            </w:tcMar>
            <w:vAlign w:val="center"/>
          </w:tcPr>
          <w:p w14:paraId="4298F0A2" w14:textId="77777777" w:rsidR="00902ACA" w:rsidRPr="003936A5" w:rsidRDefault="00902ACA"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00545065" w14:textId="77777777" w:rsidR="00902ACA" w:rsidRPr="00902ACA" w:rsidRDefault="00902ACA" w:rsidP="0055468C">
            <w:pPr>
              <w:rPr>
                <w:sz w:val="20"/>
              </w:rPr>
            </w:pPr>
            <w:r w:rsidRPr="00902ACA">
              <w:rPr>
                <w:sz w:val="20"/>
              </w:rPr>
              <w:t>Net calorific value of the non-renewable biomass used in the baseline scenario</w:t>
            </w:r>
          </w:p>
        </w:tc>
      </w:tr>
      <w:tr w:rsidR="00902ACA" w:rsidRPr="000C7CA3" w14:paraId="3FE5EFE5" w14:textId="77777777" w:rsidTr="0055468C">
        <w:trPr>
          <w:cantSplit/>
          <w:jc w:val="center"/>
        </w:trPr>
        <w:tc>
          <w:tcPr>
            <w:tcW w:w="2696" w:type="dxa"/>
            <w:shd w:val="clear" w:color="auto" w:fill="D9D9D9"/>
            <w:tcMar>
              <w:top w:w="28" w:type="dxa"/>
              <w:left w:w="57" w:type="dxa"/>
              <w:bottom w:w="28" w:type="dxa"/>
              <w:right w:w="57" w:type="dxa"/>
            </w:tcMar>
            <w:vAlign w:val="center"/>
          </w:tcPr>
          <w:p w14:paraId="478FED49" w14:textId="77777777" w:rsidR="00902ACA" w:rsidRPr="003936A5" w:rsidRDefault="00902ACA"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778EE4A1" w14:textId="77777777" w:rsidR="00902ACA" w:rsidRPr="00902ACA" w:rsidRDefault="00902ACA" w:rsidP="0055468C">
            <w:pPr>
              <w:rPr>
                <w:sz w:val="20"/>
              </w:rPr>
            </w:pPr>
            <w:r w:rsidRPr="00902ACA">
              <w:rPr>
                <w:sz w:val="20"/>
              </w:rPr>
              <w:t>2006 IPCC Guidelines for National Greenhouse Gas Inventories</w:t>
            </w:r>
          </w:p>
        </w:tc>
      </w:tr>
      <w:tr w:rsidR="00902ACA" w:rsidRPr="000C7CA3" w14:paraId="51EAA81F" w14:textId="77777777" w:rsidTr="0055468C">
        <w:trPr>
          <w:cantSplit/>
          <w:jc w:val="center"/>
        </w:trPr>
        <w:tc>
          <w:tcPr>
            <w:tcW w:w="2696" w:type="dxa"/>
            <w:shd w:val="clear" w:color="auto" w:fill="D9D9D9"/>
            <w:tcMar>
              <w:top w:w="28" w:type="dxa"/>
              <w:left w:w="57" w:type="dxa"/>
              <w:bottom w:w="28" w:type="dxa"/>
              <w:right w:w="57" w:type="dxa"/>
            </w:tcMar>
            <w:vAlign w:val="center"/>
          </w:tcPr>
          <w:p w14:paraId="73310452" w14:textId="77777777" w:rsidR="00902ACA" w:rsidRPr="003936A5" w:rsidRDefault="00902ACA"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3A7FBFB7" w14:textId="77777777" w:rsidR="00902ACA" w:rsidRPr="00902ACA" w:rsidRDefault="00902ACA" w:rsidP="0055468C">
            <w:pPr>
              <w:rPr>
                <w:sz w:val="20"/>
              </w:rPr>
            </w:pPr>
            <w:r w:rsidRPr="00902ACA">
              <w:rPr>
                <w:sz w:val="20"/>
              </w:rPr>
              <w:t>0.015</w:t>
            </w:r>
          </w:p>
        </w:tc>
      </w:tr>
      <w:tr w:rsidR="00902ACA" w:rsidRPr="000C7CA3" w14:paraId="694ABF7D" w14:textId="77777777" w:rsidTr="0055468C">
        <w:trPr>
          <w:cantSplit/>
          <w:jc w:val="center"/>
        </w:trPr>
        <w:tc>
          <w:tcPr>
            <w:tcW w:w="2696" w:type="dxa"/>
            <w:shd w:val="clear" w:color="auto" w:fill="D9D9D9"/>
            <w:tcMar>
              <w:top w:w="28" w:type="dxa"/>
              <w:left w:w="57" w:type="dxa"/>
              <w:bottom w:w="28" w:type="dxa"/>
              <w:right w:w="57" w:type="dxa"/>
            </w:tcMar>
            <w:vAlign w:val="center"/>
          </w:tcPr>
          <w:p w14:paraId="32408288" w14:textId="77777777" w:rsidR="00902ACA" w:rsidRPr="003936A5" w:rsidRDefault="00902ACA"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6FDC6A01" w14:textId="77777777" w:rsidR="00902ACA" w:rsidRPr="00902ACA" w:rsidRDefault="00902ACA" w:rsidP="00902ACA">
            <w:pPr>
              <w:pStyle w:val="SDMTableBoxParaNotNumbered"/>
            </w:pPr>
            <w:r w:rsidRPr="00902ACA">
              <w:t>As per requirement of the methodology and Table 2.3, Chapter 2, Volume 2 of the 2006 IPCC Guidelines.</w:t>
            </w:r>
          </w:p>
          <w:p w14:paraId="75DB96F4" w14:textId="77777777" w:rsidR="00902ACA" w:rsidRPr="00902ACA" w:rsidRDefault="00902ACA" w:rsidP="00902ACA">
            <w:pPr>
              <w:pStyle w:val="SDMTableBoxParaNotNumbered"/>
            </w:pPr>
          </w:p>
          <w:p w14:paraId="043B12BE" w14:textId="77777777" w:rsidR="00902ACA" w:rsidRPr="00902ACA" w:rsidRDefault="00902ACA" w:rsidP="00902ACA">
            <w:pPr>
              <w:rPr>
                <w:sz w:val="20"/>
              </w:rPr>
            </w:pPr>
            <w:r w:rsidRPr="00902ACA">
              <w:rPr>
                <w:sz w:val="20"/>
              </w:rPr>
              <w:t>The IPCC is a standard, credible source of emissions factors.</w:t>
            </w:r>
          </w:p>
        </w:tc>
      </w:tr>
      <w:tr w:rsidR="00902ACA" w:rsidRPr="000C7CA3" w14:paraId="3A7C6482" w14:textId="77777777" w:rsidTr="0055468C">
        <w:trPr>
          <w:cantSplit/>
          <w:jc w:val="center"/>
        </w:trPr>
        <w:tc>
          <w:tcPr>
            <w:tcW w:w="2696" w:type="dxa"/>
            <w:shd w:val="clear" w:color="auto" w:fill="D9D9D9"/>
            <w:tcMar>
              <w:top w:w="28" w:type="dxa"/>
              <w:left w:w="57" w:type="dxa"/>
              <w:bottom w:w="28" w:type="dxa"/>
              <w:right w:w="57" w:type="dxa"/>
            </w:tcMar>
            <w:vAlign w:val="center"/>
          </w:tcPr>
          <w:p w14:paraId="73A10EA6" w14:textId="77777777" w:rsidR="00902ACA" w:rsidRPr="003936A5" w:rsidRDefault="00902ACA"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04BBFA42" w14:textId="77777777" w:rsidR="00902ACA" w:rsidRPr="00902ACA" w:rsidRDefault="00902ACA" w:rsidP="0055468C">
            <w:pPr>
              <w:rPr>
                <w:sz w:val="20"/>
              </w:rPr>
            </w:pPr>
            <w:r w:rsidRPr="00902ACA">
              <w:rPr>
                <w:sz w:val="20"/>
              </w:rPr>
              <w:t>Calculation of baseline emissions</w:t>
            </w:r>
          </w:p>
        </w:tc>
      </w:tr>
      <w:tr w:rsidR="00902ACA" w:rsidRPr="000C7CA3" w14:paraId="2DED3D7C" w14:textId="77777777" w:rsidTr="0055468C">
        <w:trPr>
          <w:cantSplit/>
          <w:jc w:val="center"/>
        </w:trPr>
        <w:tc>
          <w:tcPr>
            <w:tcW w:w="2696" w:type="dxa"/>
            <w:shd w:val="clear" w:color="auto" w:fill="D9D9D9"/>
            <w:tcMar>
              <w:top w:w="28" w:type="dxa"/>
              <w:left w:w="57" w:type="dxa"/>
              <w:bottom w:w="28" w:type="dxa"/>
              <w:right w:w="57" w:type="dxa"/>
            </w:tcMar>
            <w:vAlign w:val="center"/>
          </w:tcPr>
          <w:p w14:paraId="5128A159" w14:textId="77777777" w:rsidR="00902ACA" w:rsidRPr="003936A5" w:rsidRDefault="00902ACA"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1EC2B02C" w14:textId="77777777" w:rsidR="00902ACA" w:rsidRPr="00902ACA" w:rsidRDefault="00902ACA" w:rsidP="0055468C">
            <w:pPr>
              <w:rPr>
                <w:sz w:val="20"/>
              </w:rPr>
            </w:pPr>
            <w:r w:rsidRPr="00902ACA">
              <w:rPr>
                <w:sz w:val="20"/>
              </w:rPr>
              <w:t>N/A</w:t>
            </w:r>
          </w:p>
        </w:tc>
      </w:tr>
    </w:tbl>
    <w:p w14:paraId="015C8C0D" w14:textId="77777777" w:rsidR="00902ACA" w:rsidRDefault="00902ACA"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02ACA" w:rsidRPr="000C7CA3" w14:paraId="7EA51675" w14:textId="77777777" w:rsidTr="0055468C">
        <w:trPr>
          <w:cantSplit/>
          <w:jc w:val="center"/>
        </w:trPr>
        <w:tc>
          <w:tcPr>
            <w:tcW w:w="2696" w:type="dxa"/>
            <w:shd w:val="clear" w:color="auto" w:fill="D9D9D9"/>
            <w:tcMar>
              <w:top w:w="28" w:type="dxa"/>
              <w:left w:w="57" w:type="dxa"/>
              <w:bottom w:w="28" w:type="dxa"/>
              <w:right w:w="57" w:type="dxa"/>
            </w:tcMar>
            <w:vAlign w:val="center"/>
          </w:tcPr>
          <w:p w14:paraId="56758592" w14:textId="77777777" w:rsidR="00902ACA" w:rsidRPr="00A76316" w:rsidRDefault="00902ACA"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75920A61" w14:textId="77777777" w:rsidR="00902ACA" w:rsidRPr="00902ACA" w:rsidRDefault="00902ACA" w:rsidP="0055468C">
            <w:pPr>
              <w:rPr>
                <w:sz w:val="20"/>
              </w:rPr>
            </w:pPr>
            <w:r w:rsidRPr="00902ACA">
              <w:rPr>
                <w:b/>
                <w:sz w:val="20"/>
              </w:rPr>
              <w:t>EF</w:t>
            </w:r>
            <w:r w:rsidRPr="00902ACA">
              <w:rPr>
                <w:b/>
                <w:sz w:val="20"/>
                <w:vertAlign w:val="subscript"/>
              </w:rPr>
              <w:t>b, fuel</w:t>
            </w:r>
          </w:p>
        </w:tc>
      </w:tr>
      <w:tr w:rsidR="00902ACA" w:rsidRPr="000C7CA3" w14:paraId="464BEDCB" w14:textId="77777777" w:rsidTr="0055468C">
        <w:trPr>
          <w:cantSplit/>
          <w:jc w:val="center"/>
        </w:trPr>
        <w:tc>
          <w:tcPr>
            <w:tcW w:w="2696" w:type="dxa"/>
            <w:shd w:val="clear" w:color="auto" w:fill="D9D9D9"/>
            <w:tcMar>
              <w:top w:w="28" w:type="dxa"/>
              <w:left w:w="57" w:type="dxa"/>
              <w:bottom w:w="28" w:type="dxa"/>
              <w:right w:w="57" w:type="dxa"/>
            </w:tcMar>
            <w:vAlign w:val="center"/>
          </w:tcPr>
          <w:p w14:paraId="1E5B8403" w14:textId="77777777" w:rsidR="00902ACA" w:rsidRPr="003936A5" w:rsidDel="00785F13" w:rsidRDefault="00902ACA"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37E42428" w14:textId="77777777" w:rsidR="00902ACA" w:rsidRPr="00902ACA" w:rsidRDefault="00902ACA" w:rsidP="0055468C">
            <w:pPr>
              <w:rPr>
                <w:sz w:val="20"/>
              </w:rPr>
            </w:pPr>
            <w:r w:rsidRPr="00902ACA">
              <w:rPr>
                <w:sz w:val="20"/>
              </w:rPr>
              <w:t>tCO</w:t>
            </w:r>
            <w:r w:rsidRPr="00902ACA">
              <w:rPr>
                <w:sz w:val="20"/>
                <w:vertAlign w:val="subscript"/>
              </w:rPr>
              <w:t>2</w:t>
            </w:r>
            <w:r w:rsidRPr="00902ACA">
              <w:rPr>
                <w:sz w:val="20"/>
              </w:rPr>
              <w:t>/TJ</w:t>
            </w:r>
          </w:p>
        </w:tc>
      </w:tr>
      <w:tr w:rsidR="00902ACA" w:rsidRPr="000C7CA3" w14:paraId="0B4A0550" w14:textId="77777777" w:rsidTr="0055468C">
        <w:trPr>
          <w:cantSplit/>
          <w:jc w:val="center"/>
        </w:trPr>
        <w:tc>
          <w:tcPr>
            <w:tcW w:w="2696" w:type="dxa"/>
            <w:shd w:val="clear" w:color="auto" w:fill="D9D9D9"/>
            <w:tcMar>
              <w:top w:w="28" w:type="dxa"/>
              <w:left w:w="57" w:type="dxa"/>
              <w:bottom w:w="28" w:type="dxa"/>
              <w:right w:w="57" w:type="dxa"/>
            </w:tcMar>
            <w:vAlign w:val="center"/>
          </w:tcPr>
          <w:p w14:paraId="69EE67B9" w14:textId="77777777" w:rsidR="00902ACA" w:rsidRPr="003936A5" w:rsidRDefault="00902ACA"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7A0E2262" w14:textId="77777777" w:rsidR="00902ACA" w:rsidRPr="00902ACA" w:rsidRDefault="00902ACA" w:rsidP="0055468C">
            <w:pPr>
              <w:rPr>
                <w:sz w:val="20"/>
              </w:rPr>
            </w:pPr>
            <w:r w:rsidRPr="00902ACA">
              <w:rPr>
                <w:sz w:val="20"/>
              </w:rPr>
              <w:t>Emission factor of fossil fuels used in baseline scenario b</w:t>
            </w:r>
          </w:p>
        </w:tc>
      </w:tr>
      <w:tr w:rsidR="00902ACA" w:rsidRPr="000C7CA3" w14:paraId="4B75FA59" w14:textId="77777777" w:rsidTr="0055468C">
        <w:trPr>
          <w:cantSplit/>
          <w:jc w:val="center"/>
        </w:trPr>
        <w:tc>
          <w:tcPr>
            <w:tcW w:w="2696" w:type="dxa"/>
            <w:shd w:val="clear" w:color="auto" w:fill="D9D9D9"/>
            <w:tcMar>
              <w:top w:w="28" w:type="dxa"/>
              <w:left w:w="57" w:type="dxa"/>
              <w:bottom w:w="28" w:type="dxa"/>
              <w:right w:w="57" w:type="dxa"/>
            </w:tcMar>
            <w:vAlign w:val="center"/>
          </w:tcPr>
          <w:p w14:paraId="31BA7D58" w14:textId="77777777" w:rsidR="00902ACA" w:rsidRPr="003936A5" w:rsidRDefault="00902ACA"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5A67640C" w14:textId="77777777" w:rsidR="00902ACA" w:rsidRPr="00902ACA" w:rsidRDefault="00902ACA" w:rsidP="0055468C">
            <w:pPr>
              <w:rPr>
                <w:sz w:val="20"/>
              </w:rPr>
            </w:pPr>
            <w:r w:rsidRPr="00902ACA">
              <w:rPr>
                <w:sz w:val="20"/>
              </w:rPr>
              <w:t>2006 IPCC Guidelines for National Greenhouse Gas Inventories</w:t>
            </w:r>
          </w:p>
        </w:tc>
      </w:tr>
      <w:tr w:rsidR="00902ACA" w:rsidRPr="000C7CA3" w14:paraId="6871C612" w14:textId="77777777" w:rsidTr="0055468C">
        <w:trPr>
          <w:cantSplit/>
          <w:jc w:val="center"/>
        </w:trPr>
        <w:tc>
          <w:tcPr>
            <w:tcW w:w="2696" w:type="dxa"/>
            <w:shd w:val="clear" w:color="auto" w:fill="D9D9D9"/>
            <w:tcMar>
              <w:top w:w="28" w:type="dxa"/>
              <w:left w:w="57" w:type="dxa"/>
              <w:bottom w:w="28" w:type="dxa"/>
              <w:right w:w="57" w:type="dxa"/>
            </w:tcMar>
            <w:vAlign w:val="center"/>
          </w:tcPr>
          <w:p w14:paraId="081207F2" w14:textId="77777777" w:rsidR="00902ACA" w:rsidRPr="003936A5" w:rsidRDefault="00902ACA"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36C779B3" w14:textId="77777777" w:rsidR="00902ACA" w:rsidRPr="00902ACA" w:rsidRDefault="00902ACA" w:rsidP="00902ACA">
            <w:pPr>
              <w:pStyle w:val="SDMTableBoxParaNotNumbered"/>
            </w:pPr>
            <w:r w:rsidRPr="00902ACA">
              <w:t>Kerosene = 71.9</w:t>
            </w:r>
          </w:p>
          <w:p w14:paraId="1D949701" w14:textId="77777777" w:rsidR="00902ACA" w:rsidRPr="00902ACA" w:rsidRDefault="00902ACA" w:rsidP="00902ACA">
            <w:pPr>
              <w:rPr>
                <w:sz w:val="20"/>
              </w:rPr>
            </w:pPr>
            <w:r w:rsidRPr="00902ACA">
              <w:rPr>
                <w:sz w:val="20"/>
              </w:rPr>
              <w:t>LPG = 63.1</w:t>
            </w:r>
          </w:p>
        </w:tc>
      </w:tr>
      <w:tr w:rsidR="00902ACA" w:rsidRPr="000C7CA3" w14:paraId="0AB9AA4B" w14:textId="77777777" w:rsidTr="0055468C">
        <w:trPr>
          <w:cantSplit/>
          <w:jc w:val="center"/>
        </w:trPr>
        <w:tc>
          <w:tcPr>
            <w:tcW w:w="2696" w:type="dxa"/>
            <w:shd w:val="clear" w:color="auto" w:fill="D9D9D9"/>
            <w:tcMar>
              <w:top w:w="28" w:type="dxa"/>
              <w:left w:w="57" w:type="dxa"/>
              <w:bottom w:w="28" w:type="dxa"/>
              <w:right w:w="57" w:type="dxa"/>
            </w:tcMar>
            <w:vAlign w:val="center"/>
          </w:tcPr>
          <w:p w14:paraId="6FC89008" w14:textId="77777777" w:rsidR="00902ACA" w:rsidRPr="003936A5" w:rsidRDefault="00902ACA"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7C4A6788" w14:textId="77777777" w:rsidR="00902ACA" w:rsidRPr="00902ACA" w:rsidRDefault="00902ACA" w:rsidP="00902ACA">
            <w:pPr>
              <w:pStyle w:val="SDMTableBoxParaNotNumbered"/>
            </w:pPr>
            <w:r w:rsidRPr="00902ACA">
              <w:t>As per requirement of the methodology and Table 2.3, Chapter 2, Volume 2 of the 2006 IPCC Guidelines.</w:t>
            </w:r>
          </w:p>
          <w:p w14:paraId="4D72CA83" w14:textId="77777777" w:rsidR="00902ACA" w:rsidRPr="00902ACA" w:rsidRDefault="00902ACA" w:rsidP="00902ACA">
            <w:pPr>
              <w:pStyle w:val="SDMTableBoxParaNotNumbered"/>
            </w:pPr>
          </w:p>
          <w:p w14:paraId="47CFD20A" w14:textId="77777777" w:rsidR="00902ACA" w:rsidRPr="00902ACA" w:rsidRDefault="00902ACA" w:rsidP="00902ACA">
            <w:pPr>
              <w:rPr>
                <w:sz w:val="20"/>
              </w:rPr>
            </w:pPr>
            <w:r w:rsidRPr="00902ACA">
              <w:rPr>
                <w:sz w:val="20"/>
              </w:rPr>
              <w:t>The IPCC is a standard, credible source of emissions factors.</w:t>
            </w:r>
          </w:p>
        </w:tc>
      </w:tr>
      <w:tr w:rsidR="00902ACA" w:rsidRPr="000C7CA3" w14:paraId="285F776B" w14:textId="77777777" w:rsidTr="0055468C">
        <w:trPr>
          <w:cantSplit/>
          <w:jc w:val="center"/>
        </w:trPr>
        <w:tc>
          <w:tcPr>
            <w:tcW w:w="2696" w:type="dxa"/>
            <w:shd w:val="clear" w:color="auto" w:fill="D9D9D9"/>
            <w:tcMar>
              <w:top w:w="28" w:type="dxa"/>
              <w:left w:w="57" w:type="dxa"/>
              <w:bottom w:w="28" w:type="dxa"/>
              <w:right w:w="57" w:type="dxa"/>
            </w:tcMar>
            <w:vAlign w:val="center"/>
          </w:tcPr>
          <w:p w14:paraId="0FC6BEDD" w14:textId="77777777" w:rsidR="00902ACA" w:rsidRPr="003936A5" w:rsidRDefault="00902ACA"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5694DFED" w14:textId="77777777" w:rsidR="00902ACA" w:rsidRPr="00902ACA" w:rsidRDefault="00902ACA" w:rsidP="0055468C">
            <w:pPr>
              <w:rPr>
                <w:sz w:val="20"/>
              </w:rPr>
            </w:pPr>
            <w:r w:rsidRPr="00902ACA">
              <w:rPr>
                <w:sz w:val="20"/>
              </w:rPr>
              <w:t>Calculation of baseline emissions</w:t>
            </w:r>
          </w:p>
        </w:tc>
      </w:tr>
      <w:tr w:rsidR="00902ACA" w:rsidRPr="000C7CA3" w14:paraId="27039D32" w14:textId="77777777" w:rsidTr="0055468C">
        <w:trPr>
          <w:cantSplit/>
          <w:jc w:val="center"/>
        </w:trPr>
        <w:tc>
          <w:tcPr>
            <w:tcW w:w="2696" w:type="dxa"/>
            <w:shd w:val="clear" w:color="auto" w:fill="D9D9D9"/>
            <w:tcMar>
              <w:top w:w="28" w:type="dxa"/>
              <w:left w:w="57" w:type="dxa"/>
              <w:bottom w:w="28" w:type="dxa"/>
              <w:right w:w="57" w:type="dxa"/>
            </w:tcMar>
            <w:vAlign w:val="center"/>
          </w:tcPr>
          <w:p w14:paraId="7175020F" w14:textId="77777777" w:rsidR="00902ACA" w:rsidRPr="003936A5" w:rsidRDefault="00902ACA"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30DCF083" w14:textId="77777777" w:rsidR="00902ACA" w:rsidRPr="00902ACA" w:rsidRDefault="00902ACA" w:rsidP="0055468C">
            <w:pPr>
              <w:rPr>
                <w:sz w:val="20"/>
              </w:rPr>
            </w:pPr>
            <w:r w:rsidRPr="00902ACA">
              <w:rPr>
                <w:sz w:val="20"/>
              </w:rPr>
              <w:t>IPCC (2006);</w:t>
            </w:r>
            <w:r w:rsidRPr="00902ACA">
              <w:rPr>
                <w:sz w:val="20"/>
                <w:lang w:val="en-US"/>
              </w:rPr>
              <w:t xml:space="preserve"> May be updated according to any future changes by the IPCC</w:t>
            </w:r>
          </w:p>
        </w:tc>
      </w:tr>
    </w:tbl>
    <w:p w14:paraId="50B24534" w14:textId="77777777" w:rsidR="00902ACA" w:rsidRDefault="00902ACA"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02ACA" w:rsidRPr="000C7CA3" w14:paraId="7DACAD64" w14:textId="77777777" w:rsidTr="0055468C">
        <w:trPr>
          <w:cantSplit/>
          <w:jc w:val="center"/>
        </w:trPr>
        <w:tc>
          <w:tcPr>
            <w:tcW w:w="2696" w:type="dxa"/>
            <w:shd w:val="clear" w:color="auto" w:fill="D9D9D9"/>
            <w:tcMar>
              <w:top w:w="28" w:type="dxa"/>
              <w:left w:w="57" w:type="dxa"/>
              <w:bottom w:w="28" w:type="dxa"/>
              <w:right w:w="57" w:type="dxa"/>
            </w:tcMar>
            <w:vAlign w:val="center"/>
          </w:tcPr>
          <w:p w14:paraId="6215C503" w14:textId="77777777" w:rsidR="00902ACA" w:rsidRPr="00A76316" w:rsidRDefault="00902ACA"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7833FE38" w14:textId="77777777" w:rsidR="00902ACA" w:rsidRPr="00902ACA" w:rsidRDefault="00902ACA" w:rsidP="0055468C">
            <w:pPr>
              <w:rPr>
                <w:sz w:val="20"/>
              </w:rPr>
            </w:pPr>
            <w:r w:rsidRPr="00902ACA">
              <w:rPr>
                <w:b/>
                <w:sz w:val="20"/>
              </w:rPr>
              <w:t>EF</w:t>
            </w:r>
            <w:r w:rsidRPr="00902ACA">
              <w:rPr>
                <w:b/>
                <w:sz w:val="20"/>
                <w:vertAlign w:val="subscript"/>
              </w:rPr>
              <w:t>p, fuel</w:t>
            </w:r>
          </w:p>
        </w:tc>
      </w:tr>
      <w:tr w:rsidR="00902ACA" w:rsidRPr="000C7CA3" w14:paraId="3CCB21CD" w14:textId="77777777" w:rsidTr="0055468C">
        <w:trPr>
          <w:cantSplit/>
          <w:jc w:val="center"/>
        </w:trPr>
        <w:tc>
          <w:tcPr>
            <w:tcW w:w="2696" w:type="dxa"/>
            <w:shd w:val="clear" w:color="auto" w:fill="D9D9D9"/>
            <w:tcMar>
              <w:top w:w="28" w:type="dxa"/>
              <w:left w:w="57" w:type="dxa"/>
              <w:bottom w:w="28" w:type="dxa"/>
              <w:right w:w="57" w:type="dxa"/>
            </w:tcMar>
            <w:vAlign w:val="center"/>
          </w:tcPr>
          <w:p w14:paraId="6484C9B1" w14:textId="77777777" w:rsidR="00902ACA" w:rsidRPr="003936A5" w:rsidDel="00785F13" w:rsidRDefault="00902ACA"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553A6896" w14:textId="77777777" w:rsidR="00902ACA" w:rsidRPr="00902ACA" w:rsidRDefault="00902ACA" w:rsidP="0055468C">
            <w:pPr>
              <w:rPr>
                <w:sz w:val="20"/>
              </w:rPr>
            </w:pPr>
            <w:r w:rsidRPr="00902ACA">
              <w:rPr>
                <w:sz w:val="20"/>
              </w:rPr>
              <w:t>tCO</w:t>
            </w:r>
            <w:r w:rsidRPr="00902ACA">
              <w:rPr>
                <w:sz w:val="20"/>
                <w:vertAlign w:val="subscript"/>
              </w:rPr>
              <w:t>2</w:t>
            </w:r>
            <w:r w:rsidRPr="00902ACA">
              <w:rPr>
                <w:sz w:val="20"/>
              </w:rPr>
              <w:t>/TJ</w:t>
            </w:r>
          </w:p>
        </w:tc>
      </w:tr>
      <w:tr w:rsidR="00902ACA" w:rsidRPr="000C7CA3" w14:paraId="7B19100F" w14:textId="77777777" w:rsidTr="0055468C">
        <w:trPr>
          <w:cantSplit/>
          <w:jc w:val="center"/>
        </w:trPr>
        <w:tc>
          <w:tcPr>
            <w:tcW w:w="2696" w:type="dxa"/>
            <w:shd w:val="clear" w:color="auto" w:fill="D9D9D9"/>
            <w:tcMar>
              <w:top w:w="28" w:type="dxa"/>
              <w:left w:w="57" w:type="dxa"/>
              <w:bottom w:w="28" w:type="dxa"/>
              <w:right w:w="57" w:type="dxa"/>
            </w:tcMar>
            <w:vAlign w:val="center"/>
          </w:tcPr>
          <w:p w14:paraId="57DC911C" w14:textId="77777777" w:rsidR="00902ACA" w:rsidRPr="003936A5" w:rsidRDefault="00902ACA"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43B7BEA1" w14:textId="77777777" w:rsidR="00902ACA" w:rsidRPr="00902ACA" w:rsidRDefault="00902ACA" w:rsidP="0055468C">
            <w:pPr>
              <w:rPr>
                <w:sz w:val="20"/>
              </w:rPr>
            </w:pPr>
            <w:r w:rsidRPr="00902ACA">
              <w:rPr>
                <w:sz w:val="20"/>
              </w:rPr>
              <w:t>Emission factor of fossil fuels used in project scenario b</w:t>
            </w:r>
          </w:p>
        </w:tc>
      </w:tr>
      <w:tr w:rsidR="00902ACA" w:rsidRPr="000C7CA3" w14:paraId="2FC1A7D3" w14:textId="77777777" w:rsidTr="0055468C">
        <w:trPr>
          <w:cantSplit/>
          <w:jc w:val="center"/>
        </w:trPr>
        <w:tc>
          <w:tcPr>
            <w:tcW w:w="2696" w:type="dxa"/>
            <w:shd w:val="clear" w:color="auto" w:fill="D9D9D9"/>
            <w:tcMar>
              <w:top w:w="28" w:type="dxa"/>
              <w:left w:w="57" w:type="dxa"/>
              <w:bottom w:w="28" w:type="dxa"/>
              <w:right w:w="57" w:type="dxa"/>
            </w:tcMar>
            <w:vAlign w:val="center"/>
          </w:tcPr>
          <w:p w14:paraId="0B8A0D08" w14:textId="77777777" w:rsidR="00902ACA" w:rsidRPr="003936A5" w:rsidRDefault="00902ACA"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4A22AFDE" w14:textId="77777777" w:rsidR="00902ACA" w:rsidRPr="00902ACA" w:rsidRDefault="00902ACA" w:rsidP="00902ACA">
            <w:pPr>
              <w:pStyle w:val="SDMTableBoxParaNotNumbered"/>
              <w:jc w:val="both"/>
            </w:pPr>
            <w:r w:rsidRPr="00902ACA">
              <w:t>2006 IPCC Guidelines for National Greenhouse Gas Inventories</w:t>
            </w:r>
          </w:p>
        </w:tc>
      </w:tr>
      <w:tr w:rsidR="00902ACA" w:rsidRPr="000C7CA3" w14:paraId="5AF2FA26" w14:textId="77777777" w:rsidTr="0055468C">
        <w:trPr>
          <w:cantSplit/>
          <w:jc w:val="center"/>
        </w:trPr>
        <w:tc>
          <w:tcPr>
            <w:tcW w:w="2696" w:type="dxa"/>
            <w:shd w:val="clear" w:color="auto" w:fill="D9D9D9"/>
            <w:tcMar>
              <w:top w:w="28" w:type="dxa"/>
              <w:left w:w="57" w:type="dxa"/>
              <w:bottom w:w="28" w:type="dxa"/>
              <w:right w:w="57" w:type="dxa"/>
            </w:tcMar>
            <w:vAlign w:val="center"/>
          </w:tcPr>
          <w:p w14:paraId="33500AC4" w14:textId="77777777" w:rsidR="00902ACA" w:rsidRPr="003936A5" w:rsidRDefault="00902ACA"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20B9D520" w14:textId="77777777" w:rsidR="00902ACA" w:rsidRPr="00902ACA" w:rsidRDefault="00902ACA" w:rsidP="00902ACA">
            <w:pPr>
              <w:pStyle w:val="SDMTableBoxParaNotNumbered"/>
            </w:pPr>
            <w:r w:rsidRPr="00902ACA">
              <w:t>Kerosene = 71.9</w:t>
            </w:r>
          </w:p>
          <w:p w14:paraId="1431F0E3" w14:textId="77777777" w:rsidR="00902ACA" w:rsidRPr="00902ACA" w:rsidRDefault="00902ACA" w:rsidP="00902ACA">
            <w:pPr>
              <w:rPr>
                <w:sz w:val="20"/>
              </w:rPr>
            </w:pPr>
            <w:r w:rsidRPr="00902ACA">
              <w:rPr>
                <w:sz w:val="20"/>
              </w:rPr>
              <w:t>LPG = 63.1</w:t>
            </w:r>
          </w:p>
        </w:tc>
      </w:tr>
      <w:tr w:rsidR="00902ACA" w:rsidRPr="000C7CA3" w14:paraId="02714477" w14:textId="77777777" w:rsidTr="0055468C">
        <w:trPr>
          <w:cantSplit/>
          <w:jc w:val="center"/>
        </w:trPr>
        <w:tc>
          <w:tcPr>
            <w:tcW w:w="2696" w:type="dxa"/>
            <w:shd w:val="clear" w:color="auto" w:fill="D9D9D9"/>
            <w:tcMar>
              <w:top w:w="28" w:type="dxa"/>
              <w:left w:w="57" w:type="dxa"/>
              <w:bottom w:w="28" w:type="dxa"/>
              <w:right w:w="57" w:type="dxa"/>
            </w:tcMar>
            <w:vAlign w:val="center"/>
          </w:tcPr>
          <w:p w14:paraId="36735ACC" w14:textId="77777777" w:rsidR="00902ACA" w:rsidRPr="003936A5" w:rsidRDefault="00902ACA"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026F1988" w14:textId="77777777" w:rsidR="00902ACA" w:rsidRPr="00902ACA" w:rsidRDefault="00902ACA" w:rsidP="00902ACA">
            <w:pPr>
              <w:pStyle w:val="SDMTableBoxParaNotNumbered"/>
            </w:pPr>
            <w:r w:rsidRPr="00902ACA">
              <w:t>As per requirement of the methodology and Table 2.3, Chapter 2, Volume 2 of the 2006 IPCC Guidelines.</w:t>
            </w:r>
          </w:p>
          <w:p w14:paraId="7B332C93" w14:textId="77777777" w:rsidR="00902ACA" w:rsidRPr="00902ACA" w:rsidRDefault="00902ACA" w:rsidP="00902ACA">
            <w:pPr>
              <w:pStyle w:val="SDMTableBoxParaNotNumbered"/>
            </w:pPr>
          </w:p>
          <w:p w14:paraId="7542101E" w14:textId="77777777" w:rsidR="00902ACA" w:rsidRPr="00902ACA" w:rsidRDefault="00902ACA" w:rsidP="00902ACA">
            <w:pPr>
              <w:rPr>
                <w:sz w:val="20"/>
              </w:rPr>
            </w:pPr>
            <w:r w:rsidRPr="00902ACA">
              <w:rPr>
                <w:sz w:val="20"/>
              </w:rPr>
              <w:t>The IPCC is a standard, credible source of emissions factors.</w:t>
            </w:r>
          </w:p>
        </w:tc>
      </w:tr>
      <w:tr w:rsidR="00902ACA" w:rsidRPr="000C7CA3" w14:paraId="6C901B35" w14:textId="77777777" w:rsidTr="0055468C">
        <w:trPr>
          <w:cantSplit/>
          <w:jc w:val="center"/>
        </w:trPr>
        <w:tc>
          <w:tcPr>
            <w:tcW w:w="2696" w:type="dxa"/>
            <w:shd w:val="clear" w:color="auto" w:fill="D9D9D9"/>
            <w:tcMar>
              <w:top w:w="28" w:type="dxa"/>
              <w:left w:w="57" w:type="dxa"/>
              <w:bottom w:w="28" w:type="dxa"/>
              <w:right w:w="57" w:type="dxa"/>
            </w:tcMar>
            <w:vAlign w:val="center"/>
          </w:tcPr>
          <w:p w14:paraId="4E5C3C8E" w14:textId="77777777" w:rsidR="00902ACA" w:rsidRPr="003936A5" w:rsidRDefault="00902ACA"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438BFDB0" w14:textId="77777777" w:rsidR="00902ACA" w:rsidRPr="00902ACA" w:rsidRDefault="00902ACA" w:rsidP="0055468C">
            <w:pPr>
              <w:rPr>
                <w:sz w:val="20"/>
              </w:rPr>
            </w:pPr>
            <w:r w:rsidRPr="00902ACA">
              <w:rPr>
                <w:sz w:val="20"/>
              </w:rPr>
              <w:t>Calculation of project emissions</w:t>
            </w:r>
          </w:p>
        </w:tc>
      </w:tr>
      <w:tr w:rsidR="00902ACA" w:rsidRPr="000C7CA3" w14:paraId="41159CF4" w14:textId="77777777" w:rsidTr="0055468C">
        <w:trPr>
          <w:cantSplit/>
          <w:jc w:val="center"/>
        </w:trPr>
        <w:tc>
          <w:tcPr>
            <w:tcW w:w="2696" w:type="dxa"/>
            <w:shd w:val="clear" w:color="auto" w:fill="D9D9D9"/>
            <w:tcMar>
              <w:top w:w="28" w:type="dxa"/>
              <w:left w:w="57" w:type="dxa"/>
              <w:bottom w:w="28" w:type="dxa"/>
              <w:right w:w="57" w:type="dxa"/>
            </w:tcMar>
            <w:vAlign w:val="center"/>
          </w:tcPr>
          <w:p w14:paraId="6F70AB06" w14:textId="77777777" w:rsidR="00902ACA" w:rsidRPr="003936A5" w:rsidRDefault="00902ACA"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505DFF3D" w14:textId="77777777" w:rsidR="00902ACA" w:rsidRPr="00902ACA" w:rsidRDefault="00902ACA" w:rsidP="0055468C">
            <w:pPr>
              <w:rPr>
                <w:sz w:val="20"/>
              </w:rPr>
            </w:pPr>
            <w:r w:rsidRPr="00902ACA">
              <w:rPr>
                <w:sz w:val="20"/>
              </w:rPr>
              <w:t>IPCC (2006);</w:t>
            </w:r>
            <w:r w:rsidRPr="00902ACA">
              <w:rPr>
                <w:sz w:val="20"/>
                <w:lang w:val="en-US"/>
              </w:rPr>
              <w:t xml:space="preserve"> May be updated according to any future changes by the IPCC</w:t>
            </w:r>
          </w:p>
        </w:tc>
      </w:tr>
    </w:tbl>
    <w:p w14:paraId="753315A7" w14:textId="77777777" w:rsidR="00902ACA" w:rsidRDefault="00902ACA"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02ACA" w:rsidRPr="000C7CA3" w14:paraId="30D931A5" w14:textId="77777777" w:rsidTr="0055468C">
        <w:trPr>
          <w:cantSplit/>
          <w:jc w:val="center"/>
        </w:trPr>
        <w:tc>
          <w:tcPr>
            <w:tcW w:w="2696" w:type="dxa"/>
            <w:shd w:val="clear" w:color="auto" w:fill="D9D9D9"/>
            <w:tcMar>
              <w:top w:w="28" w:type="dxa"/>
              <w:left w:w="57" w:type="dxa"/>
              <w:bottom w:w="28" w:type="dxa"/>
              <w:right w:w="57" w:type="dxa"/>
            </w:tcMar>
            <w:vAlign w:val="center"/>
          </w:tcPr>
          <w:p w14:paraId="43D29FC7" w14:textId="77777777" w:rsidR="00902ACA" w:rsidRPr="00A76316" w:rsidRDefault="00902ACA"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024875BB" w14:textId="77777777" w:rsidR="00902ACA" w:rsidRPr="00902ACA" w:rsidRDefault="00902ACA" w:rsidP="0055468C">
            <w:pPr>
              <w:rPr>
                <w:sz w:val="20"/>
              </w:rPr>
            </w:pPr>
            <w:r w:rsidRPr="00902ACA">
              <w:rPr>
                <w:b/>
                <w:sz w:val="20"/>
              </w:rPr>
              <w:t>NCV</w:t>
            </w:r>
            <w:r w:rsidRPr="00902ACA">
              <w:rPr>
                <w:b/>
                <w:sz w:val="20"/>
                <w:vertAlign w:val="subscript"/>
              </w:rPr>
              <w:t>fuel</w:t>
            </w:r>
          </w:p>
        </w:tc>
      </w:tr>
      <w:tr w:rsidR="00902ACA" w:rsidRPr="000C7CA3" w14:paraId="122A383A" w14:textId="77777777" w:rsidTr="0055468C">
        <w:trPr>
          <w:cantSplit/>
          <w:jc w:val="center"/>
        </w:trPr>
        <w:tc>
          <w:tcPr>
            <w:tcW w:w="2696" w:type="dxa"/>
            <w:shd w:val="clear" w:color="auto" w:fill="D9D9D9"/>
            <w:tcMar>
              <w:top w:w="28" w:type="dxa"/>
              <w:left w:w="57" w:type="dxa"/>
              <w:bottom w:w="28" w:type="dxa"/>
              <w:right w:w="57" w:type="dxa"/>
            </w:tcMar>
            <w:vAlign w:val="center"/>
          </w:tcPr>
          <w:p w14:paraId="17524EF4" w14:textId="77777777" w:rsidR="00902ACA" w:rsidRPr="003936A5" w:rsidDel="00785F13" w:rsidRDefault="00902ACA"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4BABA01C" w14:textId="77777777" w:rsidR="00902ACA" w:rsidRPr="00902ACA" w:rsidRDefault="00902ACA" w:rsidP="0055468C">
            <w:pPr>
              <w:rPr>
                <w:sz w:val="20"/>
              </w:rPr>
            </w:pPr>
            <w:r w:rsidRPr="00902ACA">
              <w:rPr>
                <w:sz w:val="20"/>
              </w:rPr>
              <w:t>TJ/tonne</w:t>
            </w:r>
          </w:p>
        </w:tc>
      </w:tr>
      <w:tr w:rsidR="00902ACA" w:rsidRPr="000C7CA3" w14:paraId="277280B6" w14:textId="77777777" w:rsidTr="0055468C">
        <w:trPr>
          <w:cantSplit/>
          <w:jc w:val="center"/>
        </w:trPr>
        <w:tc>
          <w:tcPr>
            <w:tcW w:w="2696" w:type="dxa"/>
            <w:shd w:val="clear" w:color="auto" w:fill="D9D9D9"/>
            <w:tcMar>
              <w:top w:w="28" w:type="dxa"/>
              <w:left w:w="57" w:type="dxa"/>
              <w:bottom w:w="28" w:type="dxa"/>
              <w:right w:w="57" w:type="dxa"/>
            </w:tcMar>
            <w:vAlign w:val="center"/>
          </w:tcPr>
          <w:p w14:paraId="78BBCBAE" w14:textId="77777777" w:rsidR="00902ACA" w:rsidRPr="003936A5" w:rsidRDefault="00902ACA"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5781BE68" w14:textId="77777777" w:rsidR="00902ACA" w:rsidRPr="00902ACA" w:rsidRDefault="00902ACA" w:rsidP="0055468C">
            <w:pPr>
              <w:rPr>
                <w:sz w:val="20"/>
              </w:rPr>
            </w:pPr>
            <w:r w:rsidRPr="00902ACA">
              <w:rPr>
                <w:sz w:val="20"/>
              </w:rPr>
              <w:t>Net calorific value of fossil fuels used in the baseline scenario</w:t>
            </w:r>
          </w:p>
        </w:tc>
      </w:tr>
      <w:tr w:rsidR="00902ACA" w:rsidRPr="000C7CA3" w14:paraId="55791DCA" w14:textId="77777777" w:rsidTr="0055468C">
        <w:trPr>
          <w:cantSplit/>
          <w:jc w:val="center"/>
        </w:trPr>
        <w:tc>
          <w:tcPr>
            <w:tcW w:w="2696" w:type="dxa"/>
            <w:shd w:val="clear" w:color="auto" w:fill="D9D9D9"/>
            <w:tcMar>
              <w:top w:w="28" w:type="dxa"/>
              <w:left w:w="57" w:type="dxa"/>
              <w:bottom w:w="28" w:type="dxa"/>
              <w:right w:w="57" w:type="dxa"/>
            </w:tcMar>
            <w:vAlign w:val="center"/>
          </w:tcPr>
          <w:p w14:paraId="6EC0934A" w14:textId="77777777" w:rsidR="00902ACA" w:rsidRPr="003936A5" w:rsidRDefault="00902ACA"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6CDF8188" w14:textId="77777777" w:rsidR="00902ACA" w:rsidRPr="00902ACA" w:rsidRDefault="00902ACA" w:rsidP="0055468C">
            <w:pPr>
              <w:rPr>
                <w:sz w:val="20"/>
              </w:rPr>
            </w:pPr>
            <w:r w:rsidRPr="00902ACA">
              <w:rPr>
                <w:sz w:val="20"/>
              </w:rPr>
              <w:t>2006 IPCC Guidelines for National Greenhouse Gas Inventories</w:t>
            </w:r>
          </w:p>
        </w:tc>
      </w:tr>
      <w:tr w:rsidR="00902ACA" w:rsidRPr="000C7CA3" w14:paraId="1E1D04A4" w14:textId="77777777" w:rsidTr="0055468C">
        <w:trPr>
          <w:cantSplit/>
          <w:jc w:val="center"/>
        </w:trPr>
        <w:tc>
          <w:tcPr>
            <w:tcW w:w="2696" w:type="dxa"/>
            <w:shd w:val="clear" w:color="auto" w:fill="D9D9D9"/>
            <w:tcMar>
              <w:top w:w="28" w:type="dxa"/>
              <w:left w:w="57" w:type="dxa"/>
              <w:bottom w:w="28" w:type="dxa"/>
              <w:right w:w="57" w:type="dxa"/>
            </w:tcMar>
            <w:vAlign w:val="center"/>
          </w:tcPr>
          <w:p w14:paraId="2278B111" w14:textId="77777777" w:rsidR="00902ACA" w:rsidRPr="003936A5" w:rsidRDefault="00902ACA"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0B2D951F" w14:textId="77777777" w:rsidR="00902ACA" w:rsidRPr="00902ACA" w:rsidRDefault="00902ACA" w:rsidP="00902ACA">
            <w:pPr>
              <w:pStyle w:val="SDMTableBoxParaNotNumbered"/>
            </w:pPr>
            <w:r w:rsidRPr="00902ACA">
              <w:t>Kerosene = 0.0438</w:t>
            </w:r>
          </w:p>
          <w:p w14:paraId="6EBE85B9" w14:textId="77777777" w:rsidR="00902ACA" w:rsidRPr="00902ACA" w:rsidRDefault="00902ACA" w:rsidP="00902ACA">
            <w:pPr>
              <w:rPr>
                <w:sz w:val="20"/>
              </w:rPr>
            </w:pPr>
            <w:r w:rsidRPr="00902ACA">
              <w:rPr>
                <w:sz w:val="20"/>
              </w:rPr>
              <w:t>LPG = 0.0473</w:t>
            </w:r>
          </w:p>
        </w:tc>
      </w:tr>
      <w:tr w:rsidR="00902ACA" w:rsidRPr="000C7CA3" w14:paraId="14C14328" w14:textId="77777777" w:rsidTr="0055468C">
        <w:trPr>
          <w:cantSplit/>
          <w:jc w:val="center"/>
        </w:trPr>
        <w:tc>
          <w:tcPr>
            <w:tcW w:w="2696" w:type="dxa"/>
            <w:shd w:val="clear" w:color="auto" w:fill="D9D9D9"/>
            <w:tcMar>
              <w:top w:w="28" w:type="dxa"/>
              <w:left w:w="57" w:type="dxa"/>
              <w:bottom w:w="28" w:type="dxa"/>
              <w:right w:w="57" w:type="dxa"/>
            </w:tcMar>
            <w:vAlign w:val="center"/>
          </w:tcPr>
          <w:p w14:paraId="5A47D9EC" w14:textId="77777777" w:rsidR="00902ACA" w:rsidRPr="003936A5" w:rsidRDefault="00902ACA"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1180247B" w14:textId="77777777" w:rsidR="00902ACA" w:rsidRPr="00902ACA" w:rsidRDefault="00902ACA" w:rsidP="00902ACA">
            <w:pPr>
              <w:pStyle w:val="SDMTableBoxParaNotNumbered"/>
            </w:pPr>
            <w:r w:rsidRPr="00902ACA">
              <w:t>As per requirement of the methodology and Table 2.3, Chapter 2, Volume 2 of the 2006 IPCC Guidelines.</w:t>
            </w:r>
          </w:p>
          <w:p w14:paraId="7C042BD1" w14:textId="77777777" w:rsidR="00902ACA" w:rsidRPr="00902ACA" w:rsidRDefault="00902ACA" w:rsidP="00902ACA">
            <w:pPr>
              <w:pStyle w:val="SDMTableBoxParaNotNumbered"/>
            </w:pPr>
          </w:p>
          <w:p w14:paraId="4711E66A" w14:textId="77777777" w:rsidR="00902ACA" w:rsidRPr="00902ACA" w:rsidRDefault="00902ACA" w:rsidP="00902ACA">
            <w:pPr>
              <w:rPr>
                <w:sz w:val="20"/>
              </w:rPr>
            </w:pPr>
            <w:r w:rsidRPr="00902ACA">
              <w:rPr>
                <w:sz w:val="20"/>
              </w:rPr>
              <w:t>The IPCC is a standard, credible source of emissions factors.</w:t>
            </w:r>
          </w:p>
        </w:tc>
      </w:tr>
      <w:tr w:rsidR="00902ACA" w:rsidRPr="000C7CA3" w14:paraId="76C623DF" w14:textId="77777777" w:rsidTr="0055468C">
        <w:trPr>
          <w:cantSplit/>
          <w:jc w:val="center"/>
        </w:trPr>
        <w:tc>
          <w:tcPr>
            <w:tcW w:w="2696" w:type="dxa"/>
            <w:shd w:val="clear" w:color="auto" w:fill="D9D9D9"/>
            <w:tcMar>
              <w:top w:w="28" w:type="dxa"/>
              <w:left w:w="57" w:type="dxa"/>
              <w:bottom w:w="28" w:type="dxa"/>
              <w:right w:w="57" w:type="dxa"/>
            </w:tcMar>
            <w:vAlign w:val="center"/>
          </w:tcPr>
          <w:p w14:paraId="553A166B" w14:textId="77777777" w:rsidR="00902ACA" w:rsidRPr="003936A5" w:rsidRDefault="00902ACA"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307AEC40" w14:textId="77777777" w:rsidR="00902ACA" w:rsidRPr="00902ACA" w:rsidRDefault="00902ACA" w:rsidP="0055468C">
            <w:pPr>
              <w:rPr>
                <w:sz w:val="20"/>
              </w:rPr>
            </w:pPr>
            <w:r w:rsidRPr="00902ACA">
              <w:rPr>
                <w:sz w:val="20"/>
              </w:rPr>
              <w:t>Calculation of baseline emissions</w:t>
            </w:r>
          </w:p>
        </w:tc>
      </w:tr>
      <w:tr w:rsidR="00902ACA" w:rsidRPr="000C7CA3" w14:paraId="23936BFB" w14:textId="77777777" w:rsidTr="0055468C">
        <w:trPr>
          <w:cantSplit/>
          <w:jc w:val="center"/>
        </w:trPr>
        <w:tc>
          <w:tcPr>
            <w:tcW w:w="2696" w:type="dxa"/>
            <w:shd w:val="clear" w:color="auto" w:fill="D9D9D9"/>
            <w:tcMar>
              <w:top w:w="28" w:type="dxa"/>
              <w:left w:w="57" w:type="dxa"/>
              <w:bottom w:w="28" w:type="dxa"/>
              <w:right w:w="57" w:type="dxa"/>
            </w:tcMar>
            <w:vAlign w:val="center"/>
          </w:tcPr>
          <w:p w14:paraId="2A5B0CF0" w14:textId="77777777" w:rsidR="00902ACA" w:rsidRPr="003936A5" w:rsidRDefault="00902ACA"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020C0E76" w14:textId="77777777" w:rsidR="00902ACA" w:rsidRPr="00902ACA" w:rsidRDefault="00902ACA" w:rsidP="0055468C">
            <w:pPr>
              <w:rPr>
                <w:sz w:val="20"/>
              </w:rPr>
            </w:pPr>
            <w:r w:rsidRPr="00902ACA">
              <w:rPr>
                <w:sz w:val="20"/>
              </w:rPr>
              <w:t>IPCC (2006);</w:t>
            </w:r>
            <w:r w:rsidRPr="00902ACA">
              <w:rPr>
                <w:sz w:val="20"/>
                <w:lang w:val="en-US"/>
              </w:rPr>
              <w:t xml:space="preserve"> May be updated according to any future changes by the IPCC</w:t>
            </w:r>
          </w:p>
        </w:tc>
      </w:tr>
    </w:tbl>
    <w:p w14:paraId="69A24EFB" w14:textId="77777777" w:rsidR="00902ACA" w:rsidRDefault="00902ACA"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02ACA" w:rsidRPr="000C7CA3" w14:paraId="70EB2317" w14:textId="77777777" w:rsidTr="0055468C">
        <w:trPr>
          <w:cantSplit/>
          <w:jc w:val="center"/>
        </w:trPr>
        <w:tc>
          <w:tcPr>
            <w:tcW w:w="2696" w:type="dxa"/>
            <w:shd w:val="clear" w:color="auto" w:fill="D9D9D9"/>
            <w:tcMar>
              <w:top w:w="28" w:type="dxa"/>
              <w:left w:w="57" w:type="dxa"/>
              <w:bottom w:w="28" w:type="dxa"/>
              <w:right w:w="57" w:type="dxa"/>
            </w:tcMar>
            <w:vAlign w:val="center"/>
          </w:tcPr>
          <w:p w14:paraId="12BCD904" w14:textId="77777777" w:rsidR="00902ACA" w:rsidRPr="00A76316" w:rsidRDefault="00902ACA"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71DE1C28" w14:textId="77777777" w:rsidR="00902ACA" w:rsidRPr="00902ACA" w:rsidRDefault="00902ACA" w:rsidP="0055468C">
            <w:pPr>
              <w:rPr>
                <w:sz w:val="20"/>
              </w:rPr>
            </w:pPr>
            <w:r w:rsidRPr="00902ACA">
              <w:rPr>
                <w:b/>
                <w:sz w:val="20"/>
              </w:rPr>
              <w:t>VS</w:t>
            </w:r>
            <w:r w:rsidRPr="00902ACA">
              <w:rPr>
                <w:b/>
                <w:sz w:val="20"/>
                <w:vertAlign w:val="subscript"/>
              </w:rPr>
              <w:t>T</w:t>
            </w:r>
          </w:p>
        </w:tc>
      </w:tr>
      <w:tr w:rsidR="00902ACA" w:rsidRPr="000C7CA3" w14:paraId="6AFD4659" w14:textId="77777777" w:rsidTr="0055468C">
        <w:trPr>
          <w:cantSplit/>
          <w:jc w:val="center"/>
        </w:trPr>
        <w:tc>
          <w:tcPr>
            <w:tcW w:w="2696" w:type="dxa"/>
            <w:shd w:val="clear" w:color="auto" w:fill="D9D9D9"/>
            <w:tcMar>
              <w:top w:w="28" w:type="dxa"/>
              <w:left w:w="57" w:type="dxa"/>
              <w:bottom w:w="28" w:type="dxa"/>
              <w:right w:w="57" w:type="dxa"/>
            </w:tcMar>
            <w:vAlign w:val="center"/>
          </w:tcPr>
          <w:p w14:paraId="07AE0D3D" w14:textId="77777777" w:rsidR="00902ACA" w:rsidRPr="003936A5" w:rsidDel="00785F13" w:rsidRDefault="00902ACA"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3B3E9595" w14:textId="77777777" w:rsidR="00902ACA" w:rsidRPr="00902ACA" w:rsidRDefault="00902ACA" w:rsidP="0055468C">
            <w:pPr>
              <w:rPr>
                <w:sz w:val="20"/>
              </w:rPr>
            </w:pPr>
            <w:r w:rsidRPr="00902ACA">
              <w:rPr>
                <w:sz w:val="20"/>
              </w:rPr>
              <w:t>kg/head/day</w:t>
            </w:r>
          </w:p>
        </w:tc>
      </w:tr>
      <w:tr w:rsidR="00902ACA" w:rsidRPr="000C7CA3" w14:paraId="0DF45F00" w14:textId="77777777" w:rsidTr="0055468C">
        <w:trPr>
          <w:cantSplit/>
          <w:jc w:val="center"/>
        </w:trPr>
        <w:tc>
          <w:tcPr>
            <w:tcW w:w="2696" w:type="dxa"/>
            <w:shd w:val="clear" w:color="auto" w:fill="D9D9D9"/>
            <w:tcMar>
              <w:top w:w="28" w:type="dxa"/>
              <w:left w:w="57" w:type="dxa"/>
              <w:bottom w:w="28" w:type="dxa"/>
              <w:right w:w="57" w:type="dxa"/>
            </w:tcMar>
            <w:vAlign w:val="center"/>
          </w:tcPr>
          <w:p w14:paraId="1180C0A4" w14:textId="77777777" w:rsidR="00902ACA" w:rsidRPr="003936A5" w:rsidRDefault="00902ACA"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136B143F" w14:textId="77777777" w:rsidR="00902ACA" w:rsidRPr="00902ACA" w:rsidRDefault="00902ACA" w:rsidP="0055468C">
            <w:pPr>
              <w:rPr>
                <w:sz w:val="20"/>
              </w:rPr>
            </w:pPr>
            <w:r w:rsidRPr="00902ACA">
              <w:rPr>
                <w:sz w:val="20"/>
              </w:rPr>
              <w:t>Daily volatile solid excreted for livestock category T</w:t>
            </w:r>
          </w:p>
        </w:tc>
      </w:tr>
      <w:tr w:rsidR="00902ACA" w:rsidRPr="000C7CA3" w14:paraId="51DFC412" w14:textId="77777777" w:rsidTr="0055468C">
        <w:trPr>
          <w:cantSplit/>
          <w:jc w:val="center"/>
        </w:trPr>
        <w:tc>
          <w:tcPr>
            <w:tcW w:w="2696" w:type="dxa"/>
            <w:shd w:val="clear" w:color="auto" w:fill="D9D9D9"/>
            <w:tcMar>
              <w:top w:w="28" w:type="dxa"/>
              <w:left w:w="57" w:type="dxa"/>
              <w:bottom w:w="28" w:type="dxa"/>
              <w:right w:w="57" w:type="dxa"/>
            </w:tcMar>
            <w:vAlign w:val="center"/>
          </w:tcPr>
          <w:p w14:paraId="72ED399F" w14:textId="77777777" w:rsidR="00902ACA" w:rsidRPr="003936A5" w:rsidRDefault="00902ACA"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11C87290" w14:textId="77777777" w:rsidR="00902ACA" w:rsidRPr="00902ACA" w:rsidRDefault="00902ACA" w:rsidP="0055468C">
            <w:pPr>
              <w:rPr>
                <w:sz w:val="20"/>
              </w:rPr>
            </w:pPr>
            <w:r w:rsidRPr="00902ACA">
              <w:rPr>
                <w:sz w:val="20"/>
              </w:rPr>
              <w:t>2006 IPCC Guidelines for National Greenhouse Gas Inventories</w:t>
            </w:r>
          </w:p>
        </w:tc>
      </w:tr>
      <w:tr w:rsidR="00902ACA" w:rsidRPr="000C7CA3" w14:paraId="63C9093E" w14:textId="77777777" w:rsidTr="0055468C">
        <w:trPr>
          <w:cantSplit/>
          <w:jc w:val="center"/>
        </w:trPr>
        <w:tc>
          <w:tcPr>
            <w:tcW w:w="2696" w:type="dxa"/>
            <w:shd w:val="clear" w:color="auto" w:fill="D9D9D9"/>
            <w:tcMar>
              <w:top w:w="28" w:type="dxa"/>
              <w:left w:w="57" w:type="dxa"/>
              <w:bottom w:w="28" w:type="dxa"/>
              <w:right w:w="57" w:type="dxa"/>
            </w:tcMar>
            <w:vAlign w:val="center"/>
          </w:tcPr>
          <w:p w14:paraId="1071C481" w14:textId="77777777" w:rsidR="00902ACA" w:rsidRPr="003936A5" w:rsidRDefault="00902ACA"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778C33CB" w14:textId="77777777" w:rsidR="00902ACA" w:rsidRDefault="00902ACA" w:rsidP="00902ACA">
            <w:pPr>
              <w:rPr>
                <w:sz w:val="20"/>
              </w:rPr>
            </w:pPr>
          </w:p>
          <w:tbl>
            <w:tblPr>
              <w:tblpPr w:leftFromText="180" w:rightFromText="180"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232"/>
            </w:tblGrid>
            <w:tr w:rsidR="0055468C" w:rsidRPr="001E0142" w14:paraId="12C7AA30" w14:textId="77777777" w:rsidTr="001E0142">
              <w:trPr>
                <w:trHeight w:val="252"/>
              </w:trPr>
              <w:tc>
                <w:tcPr>
                  <w:tcW w:w="1557" w:type="dxa"/>
                  <w:shd w:val="clear" w:color="auto" w:fill="D9D9D9"/>
                </w:tcPr>
                <w:p w14:paraId="58ABF605" w14:textId="77777777" w:rsidR="0055468C" w:rsidRPr="001E0142" w:rsidRDefault="0055468C" w:rsidP="0055468C">
                  <w:pPr>
                    <w:rPr>
                      <w:b/>
                      <w:sz w:val="20"/>
                    </w:rPr>
                  </w:pPr>
                  <w:r w:rsidRPr="001E0142">
                    <w:rPr>
                      <w:b/>
                      <w:sz w:val="20"/>
                    </w:rPr>
                    <w:t>Animal T</w:t>
                  </w:r>
                </w:p>
              </w:tc>
              <w:tc>
                <w:tcPr>
                  <w:tcW w:w="2232" w:type="dxa"/>
                  <w:shd w:val="clear" w:color="auto" w:fill="D9D9D9"/>
                </w:tcPr>
                <w:p w14:paraId="580A00A5" w14:textId="77777777" w:rsidR="0055468C" w:rsidRPr="001E0142" w:rsidRDefault="0055468C" w:rsidP="0055468C">
                  <w:pPr>
                    <w:rPr>
                      <w:b/>
                      <w:sz w:val="20"/>
                    </w:rPr>
                  </w:pPr>
                  <w:r w:rsidRPr="001E0142">
                    <w:rPr>
                      <w:b/>
                      <w:sz w:val="20"/>
                    </w:rPr>
                    <w:t>Average kg/head/day</w:t>
                  </w:r>
                </w:p>
              </w:tc>
            </w:tr>
            <w:tr w:rsidR="0055468C" w:rsidRPr="001E0142" w14:paraId="27810B23" w14:textId="77777777" w:rsidTr="001E0142">
              <w:trPr>
                <w:trHeight w:val="252"/>
              </w:trPr>
              <w:tc>
                <w:tcPr>
                  <w:tcW w:w="1557" w:type="dxa"/>
                  <w:shd w:val="clear" w:color="auto" w:fill="auto"/>
                </w:tcPr>
                <w:p w14:paraId="10D8AAAA" w14:textId="77777777" w:rsidR="0055468C" w:rsidRPr="001E0142" w:rsidRDefault="0055468C" w:rsidP="0055468C">
                  <w:pPr>
                    <w:rPr>
                      <w:sz w:val="20"/>
                    </w:rPr>
                  </w:pPr>
                  <w:r w:rsidRPr="001E0142">
                    <w:rPr>
                      <w:sz w:val="20"/>
                    </w:rPr>
                    <w:t>Dairy Cow</w:t>
                  </w:r>
                </w:p>
              </w:tc>
              <w:tc>
                <w:tcPr>
                  <w:tcW w:w="2232" w:type="dxa"/>
                  <w:shd w:val="clear" w:color="auto" w:fill="auto"/>
                </w:tcPr>
                <w:p w14:paraId="6317EA36" w14:textId="77777777" w:rsidR="0055468C" w:rsidRPr="001E0142" w:rsidRDefault="0055468C" w:rsidP="0055468C">
                  <w:pPr>
                    <w:rPr>
                      <w:sz w:val="20"/>
                    </w:rPr>
                  </w:pPr>
                  <w:r w:rsidRPr="001E0142">
                    <w:rPr>
                      <w:sz w:val="20"/>
                    </w:rPr>
                    <w:t>1.90</w:t>
                  </w:r>
                </w:p>
              </w:tc>
            </w:tr>
            <w:tr w:rsidR="0055468C" w:rsidRPr="001E0142" w14:paraId="118764F6" w14:textId="77777777" w:rsidTr="001E0142">
              <w:trPr>
                <w:trHeight w:val="252"/>
              </w:trPr>
              <w:tc>
                <w:tcPr>
                  <w:tcW w:w="1557" w:type="dxa"/>
                  <w:shd w:val="clear" w:color="auto" w:fill="auto"/>
                </w:tcPr>
                <w:p w14:paraId="1C94F850" w14:textId="77777777" w:rsidR="0055468C" w:rsidRPr="001E0142" w:rsidRDefault="0055468C" w:rsidP="0055468C">
                  <w:pPr>
                    <w:rPr>
                      <w:sz w:val="20"/>
                    </w:rPr>
                  </w:pPr>
                  <w:r w:rsidRPr="001E0142">
                    <w:rPr>
                      <w:sz w:val="20"/>
                    </w:rPr>
                    <w:t>Goat</w:t>
                  </w:r>
                </w:p>
              </w:tc>
              <w:tc>
                <w:tcPr>
                  <w:tcW w:w="2232" w:type="dxa"/>
                  <w:shd w:val="clear" w:color="auto" w:fill="auto"/>
                </w:tcPr>
                <w:p w14:paraId="1A06CA30" w14:textId="77777777" w:rsidR="0055468C" w:rsidRPr="001E0142" w:rsidRDefault="0055468C" w:rsidP="0055468C">
                  <w:pPr>
                    <w:rPr>
                      <w:sz w:val="20"/>
                    </w:rPr>
                  </w:pPr>
                  <w:r w:rsidRPr="001E0142">
                    <w:rPr>
                      <w:sz w:val="20"/>
                    </w:rPr>
                    <w:t>0.35</w:t>
                  </w:r>
                </w:p>
              </w:tc>
            </w:tr>
            <w:tr w:rsidR="0055468C" w:rsidRPr="001E0142" w14:paraId="72A00F7A" w14:textId="77777777" w:rsidTr="001E0142">
              <w:trPr>
                <w:trHeight w:val="252"/>
              </w:trPr>
              <w:tc>
                <w:tcPr>
                  <w:tcW w:w="1557" w:type="dxa"/>
                  <w:shd w:val="clear" w:color="auto" w:fill="auto"/>
                </w:tcPr>
                <w:p w14:paraId="1238FCD3" w14:textId="77777777" w:rsidR="0055468C" w:rsidRPr="001E0142" w:rsidRDefault="0055468C" w:rsidP="0055468C">
                  <w:pPr>
                    <w:rPr>
                      <w:sz w:val="20"/>
                    </w:rPr>
                  </w:pPr>
                  <w:r w:rsidRPr="001E0142">
                    <w:rPr>
                      <w:sz w:val="20"/>
                    </w:rPr>
                    <w:t>Market swine</w:t>
                  </w:r>
                </w:p>
              </w:tc>
              <w:tc>
                <w:tcPr>
                  <w:tcW w:w="2232" w:type="dxa"/>
                  <w:shd w:val="clear" w:color="auto" w:fill="auto"/>
                </w:tcPr>
                <w:p w14:paraId="2F47DAC2" w14:textId="77777777" w:rsidR="0055468C" w:rsidRPr="001E0142" w:rsidRDefault="0055468C" w:rsidP="0055468C">
                  <w:pPr>
                    <w:rPr>
                      <w:sz w:val="20"/>
                    </w:rPr>
                  </w:pPr>
                  <w:r w:rsidRPr="001E0142">
                    <w:rPr>
                      <w:sz w:val="20"/>
                    </w:rPr>
                    <w:t>0.30</w:t>
                  </w:r>
                </w:p>
              </w:tc>
            </w:tr>
            <w:tr w:rsidR="0055468C" w:rsidRPr="001E0142" w14:paraId="66BA1309" w14:textId="77777777" w:rsidTr="001E0142">
              <w:trPr>
                <w:trHeight w:val="252"/>
              </w:trPr>
              <w:tc>
                <w:tcPr>
                  <w:tcW w:w="1557" w:type="dxa"/>
                  <w:shd w:val="clear" w:color="auto" w:fill="auto"/>
                </w:tcPr>
                <w:p w14:paraId="017EB4B5" w14:textId="77777777" w:rsidR="0055468C" w:rsidRPr="001E0142" w:rsidRDefault="0055468C" w:rsidP="0055468C">
                  <w:pPr>
                    <w:rPr>
                      <w:sz w:val="20"/>
                    </w:rPr>
                  </w:pPr>
                  <w:r w:rsidRPr="001E0142">
                    <w:rPr>
                      <w:sz w:val="20"/>
                    </w:rPr>
                    <w:t>Sheep</w:t>
                  </w:r>
                </w:p>
              </w:tc>
              <w:tc>
                <w:tcPr>
                  <w:tcW w:w="2232" w:type="dxa"/>
                  <w:shd w:val="clear" w:color="auto" w:fill="auto"/>
                </w:tcPr>
                <w:p w14:paraId="74E7411E" w14:textId="77777777" w:rsidR="0055468C" w:rsidRPr="001E0142" w:rsidRDefault="0055468C" w:rsidP="0055468C">
                  <w:pPr>
                    <w:rPr>
                      <w:sz w:val="20"/>
                    </w:rPr>
                  </w:pPr>
                  <w:r w:rsidRPr="001E0142">
                    <w:rPr>
                      <w:sz w:val="20"/>
                    </w:rPr>
                    <w:t>0.31</w:t>
                  </w:r>
                </w:p>
              </w:tc>
            </w:tr>
            <w:tr w:rsidR="0055468C" w:rsidRPr="001E0142" w14:paraId="667BE2BC" w14:textId="77777777" w:rsidTr="001E0142">
              <w:trPr>
                <w:trHeight w:val="252"/>
              </w:trPr>
              <w:tc>
                <w:tcPr>
                  <w:tcW w:w="1557" w:type="dxa"/>
                  <w:shd w:val="clear" w:color="auto" w:fill="auto"/>
                </w:tcPr>
                <w:p w14:paraId="0B791E4F" w14:textId="77777777" w:rsidR="0055468C" w:rsidRPr="001E0142" w:rsidRDefault="0055468C" w:rsidP="0055468C">
                  <w:pPr>
                    <w:rPr>
                      <w:sz w:val="20"/>
                    </w:rPr>
                  </w:pPr>
                  <w:r w:rsidRPr="001E0142">
                    <w:rPr>
                      <w:sz w:val="20"/>
                    </w:rPr>
                    <w:t>Other cattle</w:t>
                  </w:r>
                </w:p>
              </w:tc>
              <w:tc>
                <w:tcPr>
                  <w:tcW w:w="2232" w:type="dxa"/>
                  <w:shd w:val="clear" w:color="auto" w:fill="auto"/>
                </w:tcPr>
                <w:p w14:paraId="408C6E9A" w14:textId="77777777" w:rsidR="0055468C" w:rsidRPr="001E0142" w:rsidRDefault="0055468C" w:rsidP="0055468C">
                  <w:pPr>
                    <w:rPr>
                      <w:sz w:val="20"/>
                    </w:rPr>
                  </w:pPr>
                  <w:r w:rsidRPr="001E0142">
                    <w:rPr>
                      <w:sz w:val="20"/>
                    </w:rPr>
                    <w:t>1.50</w:t>
                  </w:r>
                </w:p>
              </w:tc>
            </w:tr>
            <w:tr w:rsidR="0055468C" w:rsidRPr="001E0142" w14:paraId="1D0C53B1" w14:textId="77777777" w:rsidTr="001E0142">
              <w:trPr>
                <w:trHeight w:val="252"/>
              </w:trPr>
              <w:tc>
                <w:tcPr>
                  <w:tcW w:w="1557" w:type="dxa"/>
                  <w:shd w:val="clear" w:color="auto" w:fill="auto"/>
                </w:tcPr>
                <w:p w14:paraId="39B62981" w14:textId="77777777" w:rsidR="0055468C" w:rsidRPr="001E0142" w:rsidRDefault="0055468C" w:rsidP="0055468C">
                  <w:pPr>
                    <w:rPr>
                      <w:sz w:val="20"/>
                    </w:rPr>
                  </w:pPr>
                  <w:r w:rsidRPr="001E0142">
                    <w:rPr>
                      <w:sz w:val="20"/>
                    </w:rPr>
                    <w:t>Poultry</w:t>
                  </w:r>
                </w:p>
              </w:tc>
              <w:tc>
                <w:tcPr>
                  <w:tcW w:w="2232" w:type="dxa"/>
                  <w:shd w:val="clear" w:color="auto" w:fill="auto"/>
                </w:tcPr>
                <w:p w14:paraId="1C630039" w14:textId="77777777" w:rsidR="0055468C" w:rsidRPr="001E0142" w:rsidRDefault="0055468C" w:rsidP="0055468C">
                  <w:pPr>
                    <w:rPr>
                      <w:sz w:val="20"/>
                    </w:rPr>
                  </w:pPr>
                  <w:r w:rsidRPr="001E0142">
                    <w:rPr>
                      <w:sz w:val="20"/>
                    </w:rPr>
                    <w:t>0.02</w:t>
                  </w:r>
                </w:p>
              </w:tc>
            </w:tr>
          </w:tbl>
          <w:p w14:paraId="7CF35DA0" w14:textId="77777777" w:rsidR="0055468C" w:rsidRDefault="0055468C" w:rsidP="00902ACA">
            <w:pPr>
              <w:rPr>
                <w:sz w:val="20"/>
              </w:rPr>
            </w:pPr>
          </w:p>
          <w:p w14:paraId="1F5BC966" w14:textId="77777777" w:rsidR="0055468C" w:rsidRDefault="0055468C" w:rsidP="00902ACA">
            <w:pPr>
              <w:rPr>
                <w:sz w:val="20"/>
              </w:rPr>
            </w:pPr>
          </w:p>
          <w:p w14:paraId="1F4A14B7" w14:textId="77777777" w:rsidR="0055468C" w:rsidRDefault="0055468C" w:rsidP="00902ACA">
            <w:pPr>
              <w:rPr>
                <w:sz w:val="20"/>
              </w:rPr>
            </w:pPr>
          </w:p>
          <w:p w14:paraId="78096EF8" w14:textId="77777777" w:rsidR="0055468C" w:rsidRDefault="0055468C" w:rsidP="00902ACA">
            <w:pPr>
              <w:rPr>
                <w:sz w:val="20"/>
              </w:rPr>
            </w:pPr>
          </w:p>
          <w:p w14:paraId="1CF30CAB" w14:textId="77777777" w:rsidR="0055468C" w:rsidRDefault="0055468C" w:rsidP="00902ACA">
            <w:pPr>
              <w:rPr>
                <w:sz w:val="20"/>
              </w:rPr>
            </w:pPr>
          </w:p>
          <w:p w14:paraId="3339B73E" w14:textId="77777777" w:rsidR="0055468C" w:rsidRDefault="0055468C" w:rsidP="00902ACA">
            <w:pPr>
              <w:rPr>
                <w:sz w:val="20"/>
              </w:rPr>
            </w:pPr>
          </w:p>
          <w:p w14:paraId="48378510" w14:textId="77777777" w:rsidR="0055468C" w:rsidRDefault="0055468C" w:rsidP="00902ACA">
            <w:pPr>
              <w:rPr>
                <w:sz w:val="20"/>
              </w:rPr>
            </w:pPr>
          </w:p>
          <w:p w14:paraId="14F891DA" w14:textId="77777777" w:rsidR="0055468C" w:rsidRDefault="0055468C" w:rsidP="00902ACA">
            <w:pPr>
              <w:rPr>
                <w:sz w:val="20"/>
              </w:rPr>
            </w:pPr>
          </w:p>
          <w:p w14:paraId="1F002646" w14:textId="77777777" w:rsidR="00902ACA" w:rsidRPr="00902ACA" w:rsidRDefault="00902ACA" w:rsidP="00902ACA">
            <w:pPr>
              <w:rPr>
                <w:sz w:val="20"/>
              </w:rPr>
            </w:pPr>
          </w:p>
        </w:tc>
      </w:tr>
      <w:tr w:rsidR="00902ACA" w:rsidRPr="000C7CA3" w14:paraId="0A7262E1" w14:textId="77777777" w:rsidTr="0055468C">
        <w:trPr>
          <w:cantSplit/>
          <w:jc w:val="center"/>
        </w:trPr>
        <w:tc>
          <w:tcPr>
            <w:tcW w:w="2696" w:type="dxa"/>
            <w:shd w:val="clear" w:color="auto" w:fill="D9D9D9"/>
            <w:tcMar>
              <w:top w:w="28" w:type="dxa"/>
              <w:left w:w="57" w:type="dxa"/>
              <w:bottom w:w="28" w:type="dxa"/>
              <w:right w:w="57" w:type="dxa"/>
            </w:tcMar>
            <w:vAlign w:val="center"/>
          </w:tcPr>
          <w:p w14:paraId="32748A1B" w14:textId="77777777" w:rsidR="00902ACA" w:rsidRPr="003936A5" w:rsidRDefault="00902ACA"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3BE30DF1" w14:textId="77777777" w:rsidR="00902ACA" w:rsidRPr="00902ACA" w:rsidRDefault="00902ACA" w:rsidP="00902ACA">
            <w:pPr>
              <w:pStyle w:val="SDMTableBoxParaNotNumbered"/>
            </w:pPr>
            <w:r w:rsidRPr="00902ACA">
              <w:t>As per requirement of the methodology and sourced from Tables 10. A-4 through A-9, Chapter 10, Volume 4 of the 2006 IPCC Guidelines</w:t>
            </w:r>
          </w:p>
          <w:p w14:paraId="109AB21E" w14:textId="77777777" w:rsidR="00902ACA" w:rsidRPr="00902ACA" w:rsidRDefault="00902ACA" w:rsidP="00902ACA">
            <w:pPr>
              <w:pStyle w:val="SDMTableBoxParaNotNumbered"/>
            </w:pPr>
          </w:p>
          <w:p w14:paraId="19AFDB07" w14:textId="77777777" w:rsidR="00902ACA" w:rsidRPr="00902ACA" w:rsidRDefault="00902ACA" w:rsidP="00902ACA">
            <w:pPr>
              <w:rPr>
                <w:sz w:val="20"/>
              </w:rPr>
            </w:pPr>
            <w:r w:rsidRPr="00902ACA">
              <w:rPr>
                <w:sz w:val="20"/>
              </w:rPr>
              <w:t>The IPCC is a standard, credible source of emissions factors.</w:t>
            </w:r>
          </w:p>
        </w:tc>
      </w:tr>
      <w:tr w:rsidR="00902ACA" w:rsidRPr="000C7CA3" w14:paraId="1F42B46F" w14:textId="77777777" w:rsidTr="0055468C">
        <w:trPr>
          <w:cantSplit/>
          <w:jc w:val="center"/>
        </w:trPr>
        <w:tc>
          <w:tcPr>
            <w:tcW w:w="2696" w:type="dxa"/>
            <w:shd w:val="clear" w:color="auto" w:fill="D9D9D9"/>
            <w:tcMar>
              <w:top w:w="28" w:type="dxa"/>
              <w:left w:w="57" w:type="dxa"/>
              <w:bottom w:w="28" w:type="dxa"/>
              <w:right w:w="57" w:type="dxa"/>
            </w:tcMar>
            <w:vAlign w:val="center"/>
          </w:tcPr>
          <w:p w14:paraId="61480237" w14:textId="77777777" w:rsidR="00902ACA" w:rsidRPr="003936A5" w:rsidRDefault="00902ACA"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2289E5D4" w14:textId="77777777" w:rsidR="00902ACA" w:rsidRPr="00902ACA" w:rsidRDefault="00902ACA" w:rsidP="0055468C">
            <w:pPr>
              <w:rPr>
                <w:sz w:val="20"/>
              </w:rPr>
            </w:pPr>
            <w:r w:rsidRPr="00902ACA">
              <w:rPr>
                <w:sz w:val="20"/>
              </w:rPr>
              <w:t>Calculation of baseline emissions</w:t>
            </w:r>
          </w:p>
        </w:tc>
      </w:tr>
      <w:tr w:rsidR="00902ACA" w:rsidRPr="000C7CA3" w14:paraId="0344B8AB" w14:textId="77777777" w:rsidTr="0055468C">
        <w:trPr>
          <w:cantSplit/>
          <w:jc w:val="center"/>
        </w:trPr>
        <w:tc>
          <w:tcPr>
            <w:tcW w:w="2696" w:type="dxa"/>
            <w:shd w:val="clear" w:color="auto" w:fill="D9D9D9"/>
            <w:tcMar>
              <w:top w:w="28" w:type="dxa"/>
              <w:left w:w="57" w:type="dxa"/>
              <w:bottom w:w="28" w:type="dxa"/>
              <w:right w:w="57" w:type="dxa"/>
            </w:tcMar>
            <w:vAlign w:val="center"/>
          </w:tcPr>
          <w:p w14:paraId="5D10C590" w14:textId="77777777" w:rsidR="00902ACA" w:rsidRPr="003936A5" w:rsidRDefault="00902ACA"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67780AD7" w14:textId="77777777" w:rsidR="00902ACA" w:rsidRPr="00902ACA" w:rsidRDefault="00902ACA" w:rsidP="0055468C">
            <w:pPr>
              <w:rPr>
                <w:sz w:val="20"/>
              </w:rPr>
            </w:pPr>
            <w:r w:rsidRPr="00902ACA">
              <w:rPr>
                <w:sz w:val="20"/>
              </w:rPr>
              <w:t>IPCC (2006);</w:t>
            </w:r>
            <w:r w:rsidRPr="00902ACA">
              <w:rPr>
                <w:sz w:val="20"/>
                <w:lang w:val="en-US"/>
              </w:rPr>
              <w:t xml:space="preserve"> May be updated according to any future changes by the IPCC</w:t>
            </w:r>
            <w:r w:rsidRPr="00902ACA">
              <w:rPr>
                <w:sz w:val="20"/>
              </w:rPr>
              <w:t>. National data can replace the IPCC value, if available</w:t>
            </w:r>
          </w:p>
        </w:tc>
      </w:tr>
    </w:tbl>
    <w:p w14:paraId="7E6D346F" w14:textId="77777777" w:rsidR="00902ACA" w:rsidRDefault="00902ACA"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02ACA" w:rsidRPr="000C7CA3" w14:paraId="3C1BEDAF" w14:textId="77777777" w:rsidTr="0055468C">
        <w:trPr>
          <w:cantSplit/>
          <w:jc w:val="center"/>
        </w:trPr>
        <w:tc>
          <w:tcPr>
            <w:tcW w:w="2696" w:type="dxa"/>
            <w:shd w:val="clear" w:color="auto" w:fill="D9D9D9"/>
            <w:tcMar>
              <w:top w:w="28" w:type="dxa"/>
              <w:left w:w="57" w:type="dxa"/>
              <w:bottom w:w="28" w:type="dxa"/>
              <w:right w:w="57" w:type="dxa"/>
            </w:tcMar>
            <w:vAlign w:val="center"/>
          </w:tcPr>
          <w:p w14:paraId="3E818EFF" w14:textId="77777777" w:rsidR="00902ACA" w:rsidRPr="00A76316" w:rsidRDefault="00902ACA"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0B57A32F" w14:textId="77777777" w:rsidR="00902ACA" w:rsidRPr="0055468C" w:rsidRDefault="0055468C" w:rsidP="0055468C">
            <w:pPr>
              <w:rPr>
                <w:sz w:val="20"/>
              </w:rPr>
            </w:pPr>
            <w:r w:rsidRPr="0055468C">
              <w:rPr>
                <w:b/>
                <w:sz w:val="20"/>
              </w:rPr>
              <w:t>Bo</w:t>
            </w:r>
            <w:r w:rsidRPr="0055468C">
              <w:rPr>
                <w:b/>
                <w:sz w:val="20"/>
                <w:vertAlign w:val="subscript"/>
              </w:rPr>
              <w:t>T</w:t>
            </w:r>
          </w:p>
        </w:tc>
      </w:tr>
      <w:tr w:rsidR="00902ACA" w:rsidRPr="000C7CA3" w14:paraId="7F794A0F" w14:textId="77777777" w:rsidTr="0055468C">
        <w:trPr>
          <w:cantSplit/>
          <w:jc w:val="center"/>
        </w:trPr>
        <w:tc>
          <w:tcPr>
            <w:tcW w:w="2696" w:type="dxa"/>
            <w:shd w:val="clear" w:color="auto" w:fill="D9D9D9"/>
            <w:tcMar>
              <w:top w:w="28" w:type="dxa"/>
              <w:left w:w="57" w:type="dxa"/>
              <w:bottom w:w="28" w:type="dxa"/>
              <w:right w:w="57" w:type="dxa"/>
            </w:tcMar>
            <w:vAlign w:val="center"/>
          </w:tcPr>
          <w:p w14:paraId="167A217A" w14:textId="77777777" w:rsidR="00902ACA" w:rsidRPr="003936A5" w:rsidDel="00785F13" w:rsidRDefault="00902ACA"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6663030F" w14:textId="77777777" w:rsidR="00902ACA" w:rsidRPr="0055468C" w:rsidRDefault="0055468C" w:rsidP="0055468C">
            <w:pPr>
              <w:rPr>
                <w:sz w:val="20"/>
              </w:rPr>
            </w:pPr>
            <w:r w:rsidRPr="0055468C">
              <w:rPr>
                <w:sz w:val="20"/>
              </w:rPr>
              <w:t>m</w:t>
            </w:r>
            <w:r w:rsidRPr="0055468C">
              <w:rPr>
                <w:sz w:val="20"/>
                <w:vertAlign w:val="superscript"/>
              </w:rPr>
              <w:t>3</w:t>
            </w:r>
            <w:r w:rsidRPr="0055468C">
              <w:rPr>
                <w:sz w:val="20"/>
              </w:rPr>
              <w:t xml:space="preserve"> CH</w:t>
            </w:r>
            <w:r w:rsidRPr="0055468C">
              <w:rPr>
                <w:sz w:val="20"/>
                <w:vertAlign w:val="subscript"/>
              </w:rPr>
              <w:t>4</w:t>
            </w:r>
            <w:r w:rsidRPr="0055468C">
              <w:rPr>
                <w:sz w:val="20"/>
              </w:rPr>
              <w:t>/kg</w:t>
            </w:r>
          </w:p>
        </w:tc>
      </w:tr>
      <w:tr w:rsidR="00902ACA" w:rsidRPr="000C7CA3" w14:paraId="34D4829D" w14:textId="77777777" w:rsidTr="0055468C">
        <w:trPr>
          <w:cantSplit/>
          <w:jc w:val="center"/>
        </w:trPr>
        <w:tc>
          <w:tcPr>
            <w:tcW w:w="2696" w:type="dxa"/>
            <w:shd w:val="clear" w:color="auto" w:fill="D9D9D9"/>
            <w:tcMar>
              <w:top w:w="28" w:type="dxa"/>
              <w:left w:w="57" w:type="dxa"/>
              <w:bottom w:w="28" w:type="dxa"/>
              <w:right w:w="57" w:type="dxa"/>
            </w:tcMar>
            <w:vAlign w:val="center"/>
          </w:tcPr>
          <w:p w14:paraId="6B1B2C10" w14:textId="77777777" w:rsidR="00902ACA" w:rsidRPr="003936A5" w:rsidRDefault="00902ACA"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0C766384" w14:textId="77777777" w:rsidR="00902ACA" w:rsidRPr="0055468C" w:rsidRDefault="0055468C" w:rsidP="0055468C">
            <w:pPr>
              <w:rPr>
                <w:sz w:val="20"/>
              </w:rPr>
            </w:pPr>
            <w:r w:rsidRPr="0055468C">
              <w:rPr>
                <w:sz w:val="20"/>
              </w:rPr>
              <w:t>Maximum methane producing capacity for manure produced by animal type T</w:t>
            </w:r>
          </w:p>
        </w:tc>
      </w:tr>
      <w:tr w:rsidR="00902ACA" w:rsidRPr="000C7CA3" w14:paraId="18C7138D" w14:textId="77777777" w:rsidTr="0055468C">
        <w:trPr>
          <w:cantSplit/>
          <w:jc w:val="center"/>
        </w:trPr>
        <w:tc>
          <w:tcPr>
            <w:tcW w:w="2696" w:type="dxa"/>
            <w:shd w:val="clear" w:color="auto" w:fill="D9D9D9"/>
            <w:tcMar>
              <w:top w:w="28" w:type="dxa"/>
              <w:left w:w="57" w:type="dxa"/>
              <w:bottom w:w="28" w:type="dxa"/>
              <w:right w:w="57" w:type="dxa"/>
            </w:tcMar>
            <w:vAlign w:val="center"/>
          </w:tcPr>
          <w:p w14:paraId="57A39BB3" w14:textId="77777777" w:rsidR="00902ACA" w:rsidRPr="003936A5" w:rsidRDefault="00902ACA"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3A98F3A0" w14:textId="77777777" w:rsidR="00902ACA" w:rsidRPr="0055468C" w:rsidRDefault="0055468C" w:rsidP="0055468C">
            <w:pPr>
              <w:rPr>
                <w:sz w:val="20"/>
              </w:rPr>
            </w:pPr>
            <w:r w:rsidRPr="0055468C">
              <w:rPr>
                <w:sz w:val="20"/>
              </w:rPr>
              <w:t>2006 IPCC Guidelines for National Greenhouse Gas Inventories</w:t>
            </w:r>
          </w:p>
        </w:tc>
      </w:tr>
      <w:tr w:rsidR="00902ACA" w:rsidRPr="000C7CA3" w14:paraId="7E468DEF" w14:textId="77777777" w:rsidTr="0055468C">
        <w:trPr>
          <w:cantSplit/>
          <w:jc w:val="center"/>
        </w:trPr>
        <w:tc>
          <w:tcPr>
            <w:tcW w:w="2696" w:type="dxa"/>
            <w:shd w:val="clear" w:color="auto" w:fill="D9D9D9"/>
            <w:tcMar>
              <w:top w:w="28" w:type="dxa"/>
              <w:left w:w="57" w:type="dxa"/>
              <w:bottom w:w="28" w:type="dxa"/>
              <w:right w:w="57" w:type="dxa"/>
            </w:tcMar>
            <w:vAlign w:val="center"/>
          </w:tcPr>
          <w:p w14:paraId="2845B435" w14:textId="77777777" w:rsidR="00902ACA" w:rsidRPr="003936A5" w:rsidRDefault="00902ACA"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151F20A2" w14:textId="77777777" w:rsidR="00902ACA" w:rsidRPr="0055468C" w:rsidRDefault="00902ACA" w:rsidP="0055468C">
            <w:pPr>
              <w:rPr>
                <w:sz w:val="20"/>
              </w:rPr>
            </w:pPr>
          </w:p>
          <w:tbl>
            <w:tblPr>
              <w:tblpPr w:leftFromText="180" w:rightFromText="180"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232"/>
            </w:tblGrid>
            <w:tr w:rsidR="0055468C" w:rsidRPr="001E0142" w14:paraId="10D36FF0" w14:textId="77777777" w:rsidTr="001E0142">
              <w:trPr>
                <w:trHeight w:val="252"/>
              </w:trPr>
              <w:tc>
                <w:tcPr>
                  <w:tcW w:w="1557" w:type="dxa"/>
                  <w:shd w:val="clear" w:color="auto" w:fill="D9D9D9"/>
                </w:tcPr>
                <w:p w14:paraId="6633B659" w14:textId="77777777" w:rsidR="0055468C" w:rsidRPr="001E0142" w:rsidRDefault="0055468C" w:rsidP="0055468C">
                  <w:pPr>
                    <w:rPr>
                      <w:b/>
                      <w:sz w:val="20"/>
                    </w:rPr>
                  </w:pPr>
                  <w:r w:rsidRPr="001E0142">
                    <w:rPr>
                      <w:b/>
                      <w:sz w:val="20"/>
                    </w:rPr>
                    <w:t>Animal T</w:t>
                  </w:r>
                </w:p>
              </w:tc>
              <w:tc>
                <w:tcPr>
                  <w:tcW w:w="2232" w:type="dxa"/>
                  <w:shd w:val="clear" w:color="auto" w:fill="D9D9D9"/>
                </w:tcPr>
                <w:p w14:paraId="68E769D1" w14:textId="77777777" w:rsidR="0055468C" w:rsidRPr="001E0142" w:rsidRDefault="0055468C" w:rsidP="0055468C">
                  <w:pPr>
                    <w:rPr>
                      <w:b/>
                      <w:sz w:val="20"/>
                    </w:rPr>
                  </w:pPr>
                  <w:r w:rsidRPr="001E0142">
                    <w:rPr>
                      <w:b/>
                      <w:sz w:val="20"/>
                    </w:rPr>
                    <w:t>Average m</w:t>
                  </w:r>
                  <w:r w:rsidRPr="001E0142">
                    <w:rPr>
                      <w:b/>
                      <w:sz w:val="20"/>
                      <w:vertAlign w:val="superscript"/>
                    </w:rPr>
                    <w:t>3</w:t>
                  </w:r>
                  <w:r w:rsidRPr="001E0142">
                    <w:rPr>
                      <w:b/>
                      <w:sz w:val="20"/>
                    </w:rPr>
                    <w:t xml:space="preserve"> CH</w:t>
                  </w:r>
                  <w:r w:rsidRPr="001E0142">
                    <w:rPr>
                      <w:b/>
                      <w:sz w:val="20"/>
                      <w:vertAlign w:val="subscript"/>
                    </w:rPr>
                    <w:t>4</w:t>
                  </w:r>
                  <w:r w:rsidRPr="001E0142">
                    <w:rPr>
                      <w:b/>
                      <w:sz w:val="20"/>
                    </w:rPr>
                    <w:t>/kg</w:t>
                  </w:r>
                </w:p>
              </w:tc>
            </w:tr>
            <w:tr w:rsidR="0055468C" w:rsidRPr="001E0142" w14:paraId="5EF543C7" w14:textId="77777777" w:rsidTr="001E0142">
              <w:trPr>
                <w:trHeight w:val="252"/>
              </w:trPr>
              <w:tc>
                <w:tcPr>
                  <w:tcW w:w="1557" w:type="dxa"/>
                  <w:shd w:val="clear" w:color="auto" w:fill="auto"/>
                </w:tcPr>
                <w:p w14:paraId="1A7A0B14" w14:textId="77777777" w:rsidR="0055468C" w:rsidRPr="001E0142" w:rsidRDefault="0055468C" w:rsidP="0055468C">
                  <w:pPr>
                    <w:rPr>
                      <w:sz w:val="20"/>
                    </w:rPr>
                  </w:pPr>
                  <w:r w:rsidRPr="001E0142">
                    <w:rPr>
                      <w:sz w:val="20"/>
                    </w:rPr>
                    <w:t>Dairy Cow</w:t>
                  </w:r>
                </w:p>
              </w:tc>
              <w:tc>
                <w:tcPr>
                  <w:tcW w:w="2232" w:type="dxa"/>
                  <w:shd w:val="clear" w:color="auto" w:fill="auto"/>
                </w:tcPr>
                <w:p w14:paraId="5707BD47" w14:textId="77777777" w:rsidR="0055468C" w:rsidRPr="001E0142" w:rsidRDefault="0055468C" w:rsidP="0055468C">
                  <w:pPr>
                    <w:rPr>
                      <w:sz w:val="20"/>
                    </w:rPr>
                  </w:pPr>
                  <w:r w:rsidRPr="001E0142">
                    <w:rPr>
                      <w:sz w:val="20"/>
                    </w:rPr>
                    <w:t>0.13</w:t>
                  </w:r>
                </w:p>
              </w:tc>
            </w:tr>
            <w:tr w:rsidR="0055468C" w:rsidRPr="001E0142" w14:paraId="29A16BA5" w14:textId="77777777" w:rsidTr="001E0142">
              <w:trPr>
                <w:trHeight w:val="252"/>
              </w:trPr>
              <w:tc>
                <w:tcPr>
                  <w:tcW w:w="1557" w:type="dxa"/>
                  <w:shd w:val="clear" w:color="auto" w:fill="auto"/>
                </w:tcPr>
                <w:p w14:paraId="02361438" w14:textId="77777777" w:rsidR="0055468C" w:rsidRPr="001E0142" w:rsidRDefault="0055468C" w:rsidP="0055468C">
                  <w:pPr>
                    <w:rPr>
                      <w:sz w:val="20"/>
                    </w:rPr>
                  </w:pPr>
                  <w:r w:rsidRPr="001E0142">
                    <w:rPr>
                      <w:sz w:val="20"/>
                    </w:rPr>
                    <w:t>Goat</w:t>
                  </w:r>
                </w:p>
              </w:tc>
              <w:tc>
                <w:tcPr>
                  <w:tcW w:w="2232" w:type="dxa"/>
                  <w:shd w:val="clear" w:color="auto" w:fill="auto"/>
                </w:tcPr>
                <w:p w14:paraId="6FB26389" w14:textId="77777777" w:rsidR="0055468C" w:rsidRPr="001E0142" w:rsidRDefault="0055468C" w:rsidP="0055468C">
                  <w:pPr>
                    <w:rPr>
                      <w:sz w:val="20"/>
                    </w:rPr>
                  </w:pPr>
                  <w:r w:rsidRPr="001E0142">
                    <w:rPr>
                      <w:sz w:val="20"/>
                    </w:rPr>
                    <w:t>0.13</w:t>
                  </w:r>
                </w:p>
              </w:tc>
            </w:tr>
            <w:tr w:rsidR="0055468C" w:rsidRPr="001E0142" w14:paraId="104A6696" w14:textId="77777777" w:rsidTr="001E0142">
              <w:trPr>
                <w:trHeight w:val="252"/>
              </w:trPr>
              <w:tc>
                <w:tcPr>
                  <w:tcW w:w="1557" w:type="dxa"/>
                  <w:shd w:val="clear" w:color="auto" w:fill="auto"/>
                </w:tcPr>
                <w:p w14:paraId="30AB6080" w14:textId="77777777" w:rsidR="0055468C" w:rsidRPr="001E0142" w:rsidRDefault="0055468C" w:rsidP="0055468C">
                  <w:pPr>
                    <w:rPr>
                      <w:sz w:val="20"/>
                    </w:rPr>
                  </w:pPr>
                  <w:r w:rsidRPr="001E0142">
                    <w:rPr>
                      <w:sz w:val="20"/>
                    </w:rPr>
                    <w:t>Market swine</w:t>
                  </w:r>
                </w:p>
              </w:tc>
              <w:tc>
                <w:tcPr>
                  <w:tcW w:w="2232" w:type="dxa"/>
                  <w:shd w:val="clear" w:color="auto" w:fill="auto"/>
                </w:tcPr>
                <w:p w14:paraId="39A1D3E2" w14:textId="77777777" w:rsidR="0055468C" w:rsidRPr="001E0142" w:rsidRDefault="0055468C" w:rsidP="0055468C">
                  <w:pPr>
                    <w:rPr>
                      <w:sz w:val="20"/>
                    </w:rPr>
                  </w:pPr>
                  <w:r w:rsidRPr="001E0142">
                    <w:rPr>
                      <w:sz w:val="20"/>
                    </w:rPr>
                    <w:t>0.29</w:t>
                  </w:r>
                </w:p>
              </w:tc>
            </w:tr>
            <w:tr w:rsidR="0055468C" w:rsidRPr="001E0142" w14:paraId="1ED852FE" w14:textId="77777777" w:rsidTr="001E0142">
              <w:trPr>
                <w:trHeight w:val="252"/>
              </w:trPr>
              <w:tc>
                <w:tcPr>
                  <w:tcW w:w="1557" w:type="dxa"/>
                  <w:shd w:val="clear" w:color="auto" w:fill="auto"/>
                </w:tcPr>
                <w:p w14:paraId="114E4809" w14:textId="77777777" w:rsidR="0055468C" w:rsidRPr="001E0142" w:rsidRDefault="0055468C" w:rsidP="0055468C">
                  <w:pPr>
                    <w:rPr>
                      <w:sz w:val="20"/>
                    </w:rPr>
                  </w:pPr>
                  <w:r w:rsidRPr="001E0142">
                    <w:rPr>
                      <w:sz w:val="20"/>
                    </w:rPr>
                    <w:t>Sheep</w:t>
                  </w:r>
                </w:p>
              </w:tc>
              <w:tc>
                <w:tcPr>
                  <w:tcW w:w="2232" w:type="dxa"/>
                  <w:shd w:val="clear" w:color="auto" w:fill="auto"/>
                </w:tcPr>
                <w:p w14:paraId="032E35F3" w14:textId="77777777" w:rsidR="0055468C" w:rsidRPr="001E0142" w:rsidRDefault="0055468C" w:rsidP="0055468C">
                  <w:pPr>
                    <w:rPr>
                      <w:sz w:val="20"/>
                    </w:rPr>
                  </w:pPr>
                  <w:r w:rsidRPr="001E0142">
                    <w:rPr>
                      <w:sz w:val="20"/>
                    </w:rPr>
                    <w:t>0.13</w:t>
                  </w:r>
                </w:p>
              </w:tc>
            </w:tr>
            <w:tr w:rsidR="0055468C" w:rsidRPr="001E0142" w14:paraId="1D2625E9" w14:textId="77777777" w:rsidTr="001E0142">
              <w:trPr>
                <w:trHeight w:val="252"/>
              </w:trPr>
              <w:tc>
                <w:tcPr>
                  <w:tcW w:w="1557" w:type="dxa"/>
                  <w:shd w:val="clear" w:color="auto" w:fill="auto"/>
                </w:tcPr>
                <w:p w14:paraId="6BF49817" w14:textId="77777777" w:rsidR="0055468C" w:rsidRPr="001E0142" w:rsidRDefault="0055468C" w:rsidP="0055468C">
                  <w:pPr>
                    <w:rPr>
                      <w:sz w:val="20"/>
                    </w:rPr>
                  </w:pPr>
                  <w:r w:rsidRPr="001E0142">
                    <w:rPr>
                      <w:sz w:val="20"/>
                    </w:rPr>
                    <w:t>Other cattle</w:t>
                  </w:r>
                </w:p>
              </w:tc>
              <w:tc>
                <w:tcPr>
                  <w:tcW w:w="2232" w:type="dxa"/>
                  <w:shd w:val="clear" w:color="auto" w:fill="auto"/>
                </w:tcPr>
                <w:p w14:paraId="217B9594" w14:textId="77777777" w:rsidR="0055468C" w:rsidRPr="001E0142" w:rsidRDefault="0055468C" w:rsidP="0055468C">
                  <w:pPr>
                    <w:rPr>
                      <w:sz w:val="20"/>
                    </w:rPr>
                  </w:pPr>
                  <w:r w:rsidRPr="001E0142">
                    <w:rPr>
                      <w:sz w:val="20"/>
                    </w:rPr>
                    <w:t>0.10</w:t>
                  </w:r>
                </w:p>
              </w:tc>
            </w:tr>
            <w:tr w:rsidR="0055468C" w:rsidRPr="001E0142" w14:paraId="7CAAD753" w14:textId="77777777" w:rsidTr="001E0142">
              <w:trPr>
                <w:trHeight w:val="252"/>
              </w:trPr>
              <w:tc>
                <w:tcPr>
                  <w:tcW w:w="1557" w:type="dxa"/>
                  <w:shd w:val="clear" w:color="auto" w:fill="auto"/>
                </w:tcPr>
                <w:p w14:paraId="5B8918A3" w14:textId="77777777" w:rsidR="0055468C" w:rsidRPr="001E0142" w:rsidRDefault="0055468C" w:rsidP="0055468C">
                  <w:pPr>
                    <w:rPr>
                      <w:sz w:val="20"/>
                    </w:rPr>
                  </w:pPr>
                  <w:r w:rsidRPr="001E0142">
                    <w:rPr>
                      <w:sz w:val="20"/>
                    </w:rPr>
                    <w:t>Poultry</w:t>
                  </w:r>
                </w:p>
              </w:tc>
              <w:tc>
                <w:tcPr>
                  <w:tcW w:w="2232" w:type="dxa"/>
                  <w:shd w:val="clear" w:color="auto" w:fill="auto"/>
                </w:tcPr>
                <w:p w14:paraId="3582F983" w14:textId="77777777" w:rsidR="0055468C" w:rsidRPr="001E0142" w:rsidRDefault="0055468C" w:rsidP="0055468C">
                  <w:pPr>
                    <w:rPr>
                      <w:sz w:val="20"/>
                    </w:rPr>
                  </w:pPr>
                  <w:r w:rsidRPr="001E0142">
                    <w:rPr>
                      <w:sz w:val="20"/>
                    </w:rPr>
                    <w:t>0.24</w:t>
                  </w:r>
                </w:p>
              </w:tc>
            </w:tr>
          </w:tbl>
          <w:p w14:paraId="411388F5" w14:textId="77777777" w:rsidR="0055468C" w:rsidRPr="0055468C" w:rsidRDefault="0055468C" w:rsidP="0055468C">
            <w:pPr>
              <w:rPr>
                <w:sz w:val="20"/>
              </w:rPr>
            </w:pPr>
          </w:p>
          <w:p w14:paraId="2579F7F2" w14:textId="77777777" w:rsidR="0055468C" w:rsidRPr="0055468C" w:rsidRDefault="0055468C" w:rsidP="0055468C">
            <w:pPr>
              <w:rPr>
                <w:sz w:val="20"/>
              </w:rPr>
            </w:pPr>
          </w:p>
          <w:p w14:paraId="5329C9B1" w14:textId="77777777" w:rsidR="0055468C" w:rsidRPr="0055468C" w:rsidRDefault="0055468C" w:rsidP="0055468C">
            <w:pPr>
              <w:rPr>
                <w:sz w:val="20"/>
              </w:rPr>
            </w:pPr>
          </w:p>
          <w:p w14:paraId="052B6FC9" w14:textId="77777777" w:rsidR="0055468C" w:rsidRPr="0055468C" w:rsidRDefault="0055468C" w:rsidP="0055468C">
            <w:pPr>
              <w:rPr>
                <w:sz w:val="20"/>
              </w:rPr>
            </w:pPr>
          </w:p>
          <w:p w14:paraId="6E6C1562" w14:textId="77777777" w:rsidR="0055468C" w:rsidRPr="0055468C" w:rsidRDefault="0055468C" w:rsidP="0055468C">
            <w:pPr>
              <w:rPr>
                <w:sz w:val="20"/>
              </w:rPr>
            </w:pPr>
          </w:p>
          <w:p w14:paraId="437D469D" w14:textId="77777777" w:rsidR="0055468C" w:rsidRPr="0055468C" w:rsidRDefault="0055468C" w:rsidP="0055468C">
            <w:pPr>
              <w:rPr>
                <w:sz w:val="20"/>
              </w:rPr>
            </w:pPr>
          </w:p>
          <w:p w14:paraId="380AD22C" w14:textId="77777777" w:rsidR="0055468C" w:rsidRPr="0055468C" w:rsidRDefault="0055468C" w:rsidP="0055468C">
            <w:pPr>
              <w:rPr>
                <w:sz w:val="20"/>
              </w:rPr>
            </w:pPr>
          </w:p>
          <w:p w14:paraId="122DB35C" w14:textId="77777777" w:rsidR="0055468C" w:rsidRPr="0055468C" w:rsidRDefault="0055468C" w:rsidP="0055468C">
            <w:pPr>
              <w:rPr>
                <w:sz w:val="20"/>
              </w:rPr>
            </w:pPr>
          </w:p>
        </w:tc>
      </w:tr>
      <w:tr w:rsidR="00902ACA" w:rsidRPr="000C7CA3" w14:paraId="6DA26849" w14:textId="77777777" w:rsidTr="0055468C">
        <w:trPr>
          <w:cantSplit/>
          <w:jc w:val="center"/>
        </w:trPr>
        <w:tc>
          <w:tcPr>
            <w:tcW w:w="2696" w:type="dxa"/>
            <w:shd w:val="clear" w:color="auto" w:fill="D9D9D9"/>
            <w:tcMar>
              <w:top w:w="28" w:type="dxa"/>
              <w:left w:w="57" w:type="dxa"/>
              <w:bottom w:w="28" w:type="dxa"/>
              <w:right w:w="57" w:type="dxa"/>
            </w:tcMar>
            <w:vAlign w:val="center"/>
          </w:tcPr>
          <w:p w14:paraId="73C00EE5" w14:textId="77777777" w:rsidR="00902ACA" w:rsidRPr="003936A5" w:rsidRDefault="00902ACA"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2A0857CF" w14:textId="77777777" w:rsidR="0055468C" w:rsidRPr="0055468C" w:rsidRDefault="0055468C" w:rsidP="0055468C">
            <w:pPr>
              <w:pStyle w:val="SDMTableBoxParaNotNumbered"/>
            </w:pPr>
            <w:r w:rsidRPr="0055468C">
              <w:t>As per requirement of the methodology and sourced from Tables 10. A-4 through A-9, Chapter 10, Volume 4 of the 2006 IPCC Guidelines</w:t>
            </w:r>
          </w:p>
          <w:p w14:paraId="1D1D7A57" w14:textId="77777777" w:rsidR="0055468C" w:rsidRPr="0055468C" w:rsidRDefault="0055468C" w:rsidP="0055468C">
            <w:pPr>
              <w:pStyle w:val="SDMTableBoxParaNotNumbered"/>
            </w:pPr>
          </w:p>
          <w:p w14:paraId="0EEB22CA" w14:textId="77777777" w:rsidR="00902ACA" w:rsidRPr="0055468C" w:rsidRDefault="0055468C" w:rsidP="0055468C">
            <w:pPr>
              <w:rPr>
                <w:sz w:val="20"/>
              </w:rPr>
            </w:pPr>
            <w:r w:rsidRPr="0055468C">
              <w:rPr>
                <w:sz w:val="20"/>
              </w:rPr>
              <w:t>The IPCC is a standard, credible source of emissions factors.</w:t>
            </w:r>
          </w:p>
        </w:tc>
      </w:tr>
      <w:tr w:rsidR="00902ACA" w:rsidRPr="000C7CA3" w14:paraId="15AA53E4" w14:textId="77777777" w:rsidTr="0055468C">
        <w:trPr>
          <w:cantSplit/>
          <w:jc w:val="center"/>
        </w:trPr>
        <w:tc>
          <w:tcPr>
            <w:tcW w:w="2696" w:type="dxa"/>
            <w:shd w:val="clear" w:color="auto" w:fill="D9D9D9"/>
            <w:tcMar>
              <w:top w:w="28" w:type="dxa"/>
              <w:left w:w="57" w:type="dxa"/>
              <w:bottom w:w="28" w:type="dxa"/>
              <w:right w:w="57" w:type="dxa"/>
            </w:tcMar>
            <w:vAlign w:val="center"/>
          </w:tcPr>
          <w:p w14:paraId="0A87AE9C" w14:textId="77777777" w:rsidR="00902ACA" w:rsidRPr="003936A5" w:rsidRDefault="00902ACA" w:rsidP="0055468C">
            <w:pPr>
              <w:rPr>
                <w:sz w:val="20"/>
              </w:rPr>
            </w:pPr>
            <w:r w:rsidRPr="003936A5">
              <w:rPr>
                <w:sz w:val="20"/>
              </w:rPr>
              <w:lastRenderedPageBreak/>
              <w:t>Purpose of data</w:t>
            </w:r>
          </w:p>
        </w:tc>
        <w:tc>
          <w:tcPr>
            <w:tcW w:w="6933" w:type="dxa"/>
            <w:shd w:val="clear" w:color="auto" w:fill="auto"/>
            <w:tcMar>
              <w:top w:w="28" w:type="dxa"/>
              <w:left w:w="57" w:type="dxa"/>
              <w:bottom w:w="28" w:type="dxa"/>
              <w:right w:w="57" w:type="dxa"/>
            </w:tcMar>
            <w:vAlign w:val="center"/>
          </w:tcPr>
          <w:p w14:paraId="12425457" w14:textId="77777777" w:rsidR="00902ACA" w:rsidRPr="0055468C" w:rsidRDefault="0055468C" w:rsidP="0055468C">
            <w:pPr>
              <w:rPr>
                <w:sz w:val="20"/>
              </w:rPr>
            </w:pPr>
            <w:r w:rsidRPr="0055468C">
              <w:rPr>
                <w:sz w:val="20"/>
              </w:rPr>
              <w:t>Calculation of baseline emissions</w:t>
            </w:r>
          </w:p>
        </w:tc>
      </w:tr>
      <w:tr w:rsidR="00902ACA" w:rsidRPr="000C7CA3" w14:paraId="217A8BE8" w14:textId="77777777" w:rsidTr="0055468C">
        <w:trPr>
          <w:cantSplit/>
          <w:jc w:val="center"/>
        </w:trPr>
        <w:tc>
          <w:tcPr>
            <w:tcW w:w="2696" w:type="dxa"/>
            <w:shd w:val="clear" w:color="auto" w:fill="D9D9D9"/>
            <w:tcMar>
              <w:top w:w="28" w:type="dxa"/>
              <w:left w:w="57" w:type="dxa"/>
              <w:bottom w:w="28" w:type="dxa"/>
              <w:right w:w="57" w:type="dxa"/>
            </w:tcMar>
            <w:vAlign w:val="center"/>
          </w:tcPr>
          <w:p w14:paraId="426113D7" w14:textId="77777777" w:rsidR="00902ACA" w:rsidRPr="003936A5" w:rsidRDefault="00902ACA"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2142F9EC" w14:textId="77777777" w:rsidR="00902ACA" w:rsidRPr="0055468C" w:rsidRDefault="0055468C" w:rsidP="0055468C">
            <w:pPr>
              <w:rPr>
                <w:sz w:val="20"/>
              </w:rPr>
            </w:pPr>
            <w:r w:rsidRPr="0055468C">
              <w:rPr>
                <w:sz w:val="20"/>
              </w:rPr>
              <w:t>IPCC (2006);</w:t>
            </w:r>
            <w:r w:rsidRPr="0055468C">
              <w:rPr>
                <w:sz w:val="20"/>
                <w:lang w:val="en-US"/>
              </w:rPr>
              <w:t xml:space="preserve"> May be updated according to any future changes by the IPCC</w:t>
            </w:r>
            <w:r w:rsidRPr="0055468C">
              <w:rPr>
                <w:sz w:val="20"/>
              </w:rPr>
              <w:t>. National data can replace the IPCC value, if available</w:t>
            </w:r>
          </w:p>
        </w:tc>
      </w:tr>
    </w:tbl>
    <w:p w14:paraId="75560D75" w14:textId="77777777" w:rsidR="00902ACA" w:rsidRDefault="00902ACA"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55468C" w:rsidRPr="000C7CA3" w14:paraId="2ADE6AB3" w14:textId="77777777" w:rsidTr="0055468C">
        <w:trPr>
          <w:cantSplit/>
          <w:jc w:val="center"/>
        </w:trPr>
        <w:tc>
          <w:tcPr>
            <w:tcW w:w="2696" w:type="dxa"/>
            <w:shd w:val="clear" w:color="auto" w:fill="D9D9D9"/>
            <w:tcMar>
              <w:top w:w="28" w:type="dxa"/>
              <w:left w:w="57" w:type="dxa"/>
              <w:bottom w:w="28" w:type="dxa"/>
              <w:right w:w="57" w:type="dxa"/>
            </w:tcMar>
            <w:vAlign w:val="center"/>
          </w:tcPr>
          <w:p w14:paraId="014F3AF8" w14:textId="77777777" w:rsidR="0055468C" w:rsidRPr="00A76316" w:rsidRDefault="0055468C"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5795DA24" w14:textId="77777777" w:rsidR="0055468C" w:rsidRPr="000C7CA3" w:rsidRDefault="0055468C" w:rsidP="0055468C">
            <w:r>
              <w:rPr>
                <w:b/>
              </w:rPr>
              <w:t>EF</w:t>
            </w:r>
            <w:r>
              <w:rPr>
                <w:b/>
                <w:vertAlign w:val="subscript"/>
              </w:rPr>
              <w:t>awms,T</w:t>
            </w:r>
          </w:p>
        </w:tc>
      </w:tr>
      <w:tr w:rsidR="0055468C" w:rsidRPr="000C7CA3" w14:paraId="60C550A1" w14:textId="77777777" w:rsidTr="0055468C">
        <w:trPr>
          <w:cantSplit/>
          <w:jc w:val="center"/>
        </w:trPr>
        <w:tc>
          <w:tcPr>
            <w:tcW w:w="2696" w:type="dxa"/>
            <w:shd w:val="clear" w:color="auto" w:fill="D9D9D9"/>
            <w:tcMar>
              <w:top w:w="28" w:type="dxa"/>
              <w:left w:w="57" w:type="dxa"/>
              <w:bottom w:w="28" w:type="dxa"/>
              <w:right w:w="57" w:type="dxa"/>
            </w:tcMar>
            <w:vAlign w:val="center"/>
          </w:tcPr>
          <w:p w14:paraId="31B02F3E" w14:textId="77777777" w:rsidR="0055468C" w:rsidRPr="003936A5" w:rsidDel="00785F13" w:rsidRDefault="0055468C"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4F112BAC" w14:textId="77777777" w:rsidR="0055468C" w:rsidRPr="0055468C" w:rsidRDefault="0061047F" w:rsidP="0055468C">
            <w:pPr>
              <w:rPr>
                <w:sz w:val="20"/>
              </w:rPr>
            </w:pPr>
            <w:r>
              <w:rPr>
                <w:sz w:val="20"/>
              </w:rPr>
              <w:t>m</w:t>
            </w:r>
            <w:r w:rsidRPr="00E246BC">
              <w:rPr>
                <w:sz w:val="20"/>
                <w:vertAlign w:val="superscript"/>
              </w:rPr>
              <w:t xml:space="preserve">3 </w:t>
            </w:r>
            <w:r>
              <w:rPr>
                <w:sz w:val="20"/>
              </w:rPr>
              <w:t>CH</w:t>
            </w:r>
            <w:r w:rsidRPr="00E246BC">
              <w:rPr>
                <w:sz w:val="20"/>
                <w:vertAlign w:val="subscript"/>
              </w:rPr>
              <w:t>4</w:t>
            </w:r>
            <w:r>
              <w:rPr>
                <w:sz w:val="20"/>
              </w:rPr>
              <w:t>/kg</w:t>
            </w:r>
          </w:p>
        </w:tc>
      </w:tr>
      <w:tr w:rsidR="0055468C" w:rsidRPr="000C7CA3" w14:paraId="62C5AF0F" w14:textId="77777777" w:rsidTr="0055468C">
        <w:trPr>
          <w:cantSplit/>
          <w:jc w:val="center"/>
        </w:trPr>
        <w:tc>
          <w:tcPr>
            <w:tcW w:w="2696" w:type="dxa"/>
            <w:shd w:val="clear" w:color="auto" w:fill="D9D9D9"/>
            <w:tcMar>
              <w:top w:w="28" w:type="dxa"/>
              <w:left w:w="57" w:type="dxa"/>
              <w:bottom w:w="28" w:type="dxa"/>
              <w:right w:w="57" w:type="dxa"/>
            </w:tcMar>
            <w:vAlign w:val="center"/>
          </w:tcPr>
          <w:p w14:paraId="0CB326F4" w14:textId="77777777" w:rsidR="0055468C" w:rsidRPr="003936A5" w:rsidRDefault="0055468C"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4FEA18C9" w14:textId="77777777" w:rsidR="0055468C" w:rsidRPr="0055468C" w:rsidRDefault="0055468C" w:rsidP="0055468C">
            <w:pPr>
              <w:rPr>
                <w:sz w:val="20"/>
              </w:rPr>
            </w:pPr>
            <w:r w:rsidRPr="0055468C">
              <w:rPr>
                <w:sz w:val="20"/>
              </w:rPr>
              <w:t>Emission factor for the defined livestock population category T by average temperature</w:t>
            </w:r>
          </w:p>
        </w:tc>
      </w:tr>
      <w:tr w:rsidR="0055468C" w:rsidRPr="000C7CA3" w14:paraId="7C620B07" w14:textId="77777777" w:rsidTr="0055468C">
        <w:trPr>
          <w:cantSplit/>
          <w:jc w:val="center"/>
        </w:trPr>
        <w:tc>
          <w:tcPr>
            <w:tcW w:w="2696" w:type="dxa"/>
            <w:shd w:val="clear" w:color="auto" w:fill="D9D9D9"/>
            <w:tcMar>
              <w:top w:w="28" w:type="dxa"/>
              <w:left w:w="57" w:type="dxa"/>
              <w:bottom w:w="28" w:type="dxa"/>
              <w:right w:w="57" w:type="dxa"/>
            </w:tcMar>
            <w:vAlign w:val="center"/>
          </w:tcPr>
          <w:p w14:paraId="54D9BCB2" w14:textId="77777777" w:rsidR="0055468C" w:rsidRPr="003936A5" w:rsidRDefault="0055468C" w:rsidP="0055468C">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4028E83C" w14:textId="77777777" w:rsidR="0055468C" w:rsidRPr="0055468C" w:rsidRDefault="0055468C" w:rsidP="0055468C">
            <w:pPr>
              <w:rPr>
                <w:sz w:val="20"/>
              </w:rPr>
            </w:pPr>
            <w:r w:rsidRPr="0055468C">
              <w:rPr>
                <w:sz w:val="20"/>
              </w:rPr>
              <w:t>2006 IPCC Guidelines for National Greenhouse Gas Inventories; Indonesian Meteorological Climatological and Geophysical Agency</w:t>
            </w:r>
          </w:p>
        </w:tc>
      </w:tr>
      <w:tr w:rsidR="0055468C" w:rsidRPr="000C7CA3" w14:paraId="72B9FD43" w14:textId="77777777" w:rsidTr="0055468C">
        <w:trPr>
          <w:cantSplit/>
          <w:jc w:val="center"/>
        </w:trPr>
        <w:tc>
          <w:tcPr>
            <w:tcW w:w="2696" w:type="dxa"/>
            <w:shd w:val="clear" w:color="auto" w:fill="D9D9D9"/>
            <w:tcMar>
              <w:top w:w="28" w:type="dxa"/>
              <w:left w:w="57" w:type="dxa"/>
              <w:bottom w:w="28" w:type="dxa"/>
              <w:right w:w="57" w:type="dxa"/>
            </w:tcMar>
            <w:vAlign w:val="center"/>
          </w:tcPr>
          <w:p w14:paraId="584E0573" w14:textId="77777777" w:rsidR="0055468C" w:rsidRPr="003936A5" w:rsidRDefault="0055468C"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4433FAFF" w14:textId="77777777" w:rsidR="0055468C" w:rsidRPr="0055468C" w:rsidRDefault="0055468C" w:rsidP="0055468C">
            <w:pPr>
              <w:rPr>
                <w:sz w:val="20"/>
              </w:rPr>
            </w:pPr>
          </w:p>
          <w:tbl>
            <w:tblPr>
              <w:tblpPr w:leftFromText="180" w:rightFromText="180"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084"/>
            </w:tblGrid>
            <w:tr w:rsidR="0055468C" w:rsidRPr="001E0142" w14:paraId="34AB63D7" w14:textId="77777777" w:rsidTr="001E0142">
              <w:trPr>
                <w:trHeight w:val="252"/>
              </w:trPr>
              <w:tc>
                <w:tcPr>
                  <w:tcW w:w="1705" w:type="dxa"/>
                  <w:shd w:val="clear" w:color="auto" w:fill="D9D9D9"/>
                </w:tcPr>
                <w:p w14:paraId="1930E9E5" w14:textId="77777777" w:rsidR="0055468C" w:rsidRPr="001E0142" w:rsidRDefault="0055468C" w:rsidP="0055468C">
                  <w:pPr>
                    <w:rPr>
                      <w:b/>
                      <w:sz w:val="20"/>
                    </w:rPr>
                  </w:pPr>
                  <w:r w:rsidRPr="001E0142">
                    <w:rPr>
                      <w:b/>
                      <w:sz w:val="20"/>
                    </w:rPr>
                    <w:t>Animal T</w:t>
                  </w:r>
                </w:p>
              </w:tc>
              <w:tc>
                <w:tcPr>
                  <w:tcW w:w="2084" w:type="dxa"/>
                  <w:shd w:val="clear" w:color="auto" w:fill="D9D9D9"/>
                </w:tcPr>
                <w:p w14:paraId="0489C731" w14:textId="77777777" w:rsidR="0055468C" w:rsidRPr="001E0142" w:rsidRDefault="0061047F" w:rsidP="0055468C">
                  <w:pPr>
                    <w:rPr>
                      <w:b/>
                      <w:sz w:val="20"/>
                    </w:rPr>
                  </w:pPr>
                  <w:r>
                    <w:rPr>
                      <w:b/>
                      <w:sz w:val="20"/>
                    </w:rPr>
                    <w:t>Value</w:t>
                  </w:r>
                </w:p>
              </w:tc>
            </w:tr>
            <w:tr w:rsidR="0055468C" w:rsidRPr="001E0142" w14:paraId="7E6717AF" w14:textId="77777777" w:rsidTr="001E0142">
              <w:trPr>
                <w:trHeight w:val="252"/>
              </w:trPr>
              <w:tc>
                <w:tcPr>
                  <w:tcW w:w="1705" w:type="dxa"/>
                  <w:shd w:val="clear" w:color="auto" w:fill="auto"/>
                </w:tcPr>
                <w:p w14:paraId="2E21FC0F" w14:textId="77777777" w:rsidR="0055468C" w:rsidRPr="001E0142" w:rsidRDefault="0055468C" w:rsidP="0055468C">
                  <w:pPr>
                    <w:rPr>
                      <w:sz w:val="20"/>
                    </w:rPr>
                  </w:pPr>
                  <w:r w:rsidRPr="001E0142">
                    <w:rPr>
                      <w:sz w:val="20"/>
                    </w:rPr>
                    <w:t>Dairy Cow</w:t>
                  </w:r>
                </w:p>
              </w:tc>
              <w:tc>
                <w:tcPr>
                  <w:tcW w:w="2084" w:type="dxa"/>
                  <w:shd w:val="clear" w:color="auto" w:fill="auto"/>
                </w:tcPr>
                <w:p w14:paraId="68CF93D4" w14:textId="77777777" w:rsidR="0055468C" w:rsidRPr="001E0142" w:rsidRDefault="0061047F" w:rsidP="0055468C">
                  <w:pPr>
                    <w:rPr>
                      <w:sz w:val="20"/>
                    </w:rPr>
                  </w:pPr>
                  <w:r>
                    <w:rPr>
                      <w:sz w:val="20"/>
                    </w:rPr>
                    <w:t>0.002</w:t>
                  </w:r>
                </w:p>
              </w:tc>
            </w:tr>
            <w:tr w:rsidR="0055468C" w:rsidRPr="001E0142" w14:paraId="73370122" w14:textId="77777777" w:rsidTr="001E0142">
              <w:trPr>
                <w:trHeight w:val="252"/>
              </w:trPr>
              <w:tc>
                <w:tcPr>
                  <w:tcW w:w="1705" w:type="dxa"/>
                  <w:shd w:val="clear" w:color="auto" w:fill="auto"/>
                </w:tcPr>
                <w:p w14:paraId="54049573" w14:textId="77777777" w:rsidR="0055468C" w:rsidRPr="001E0142" w:rsidRDefault="0055468C" w:rsidP="0055468C">
                  <w:pPr>
                    <w:rPr>
                      <w:sz w:val="20"/>
                    </w:rPr>
                  </w:pPr>
                  <w:r w:rsidRPr="001E0142">
                    <w:rPr>
                      <w:sz w:val="20"/>
                    </w:rPr>
                    <w:t>Other cattle</w:t>
                  </w:r>
                </w:p>
              </w:tc>
              <w:tc>
                <w:tcPr>
                  <w:tcW w:w="2084" w:type="dxa"/>
                  <w:shd w:val="clear" w:color="auto" w:fill="auto"/>
                </w:tcPr>
                <w:p w14:paraId="4EE646CD" w14:textId="77777777" w:rsidR="0055468C" w:rsidRPr="001E0142" w:rsidRDefault="0061047F" w:rsidP="0055468C">
                  <w:pPr>
                    <w:rPr>
                      <w:sz w:val="20"/>
                    </w:rPr>
                  </w:pPr>
                  <w:r>
                    <w:rPr>
                      <w:sz w:val="20"/>
                    </w:rPr>
                    <w:t>0.001</w:t>
                  </w:r>
                </w:p>
              </w:tc>
            </w:tr>
            <w:tr w:rsidR="0055468C" w:rsidRPr="001E0142" w14:paraId="34B90F44" w14:textId="77777777" w:rsidTr="001E0142">
              <w:trPr>
                <w:trHeight w:val="252"/>
              </w:trPr>
              <w:tc>
                <w:tcPr>
                  <w:tcW w:w="1705" w:type="dxa"/>
                  <w:shd w:val="clear" w:color="auto" w:fill="auto"/>
                </w:tcPr>
                <w:p w14:paraId="20336D50" w14:textId="77777777" w:rsidR="0055468C" w:rsidRPr="001E0142" w:rsidRDefault="0055468C" w:rsidP="0055468C">
                  <w:pPr>
                    <w:rPr>
                      <w:sz w:val="20"/>
                    </w:rPr>
                  </w:pPr>
                  <w:r w:rsidRPr="001E0142">
                    <w:rPr>
                      <w:sz w:val="20"/>
                    </w:rPr>
                    <w:t>Market swine</w:t>
                  </w:r>
                </w:p>
              </w:tc>
              <w:tc>
                <w:tcPr>
                  <w:tcW w:w="2084" w:type="dxa"/>
                  <w:shd w:val="clear" w:color="auto" w:fill="auto"/>
                </w:tcPr>
                <w:p w14:paraId="6FF5688E" w14:textId="77777777" w:rsidR="0055468C" w:rsidRPr="001E0142" w:rsidRDefault="0061047F" w:rsidP="0055468C">
                  <w:pPr>
                    <w:rPr>
                      <w:sz w:val="20"/>
                    </w:rPr>
                  </w:pPr>
                  <w:r>
                    <w:rPr>
                      <w:sz w:val="20"/>
                    </w:rPr>
                    <w:t>0.000</w:t>
                  </w:r>
                </w:p>
              </w:tc>
            </w:tr>
            <w:tr w:rsidR="0055468C" w:rsidRPr="001E0142" w14:paraId="56882920" w14:textId="77777777" w:rsidTr="001E0142">
              <w:trPr>
                <w:trHeight w:val="252"/>
              </w:trPr>
              <w:tc>
                <w:tcPr>
                  <w:tcW w:w="1705" w:type="dxa"/>
                  <w:shd w:val="clear" w:color="auto" w:fill="auto"/>
                </w:tcPr>
                <w:p w14:paraId="3A8B6AF6" w14:textId="77777777" w:rsidR="0055468C" w:rsidRPr="001E0142" w:rsidRDefault="0055468C" w:rsidP="0055468C">
                  <w:pPr>
                    <w:rPr>
                      <w:sz w:val="20"/>
                    </w:rPr>
                  </w:pPr>
                  <w:r w:rsidRPr="001E0142">
                    <w:rPr>
                      <w:sz w:val="20"/>
                    </w:rPr>
                    <w:t>Breeding swine</w:t>
                  </w:r>
                </w:p>
              </w:tc>
              <w:tc>
                <w:tcPr>
                  <w:tcW w:w="2084" w:type="dxa"/>
                  <w:shd w:val="clear" w:color="auto" w:fill="auto"/>
                </w:tcPr>
                <w:p w14:paraId="11932F3E" w14:textId="77777777" w:rsidR="0055468C" w:rsidRPr="001E0142" w:rsidRDefault="0061047F" w:rsidP="0055468C">
                  <w:pPr>
                    <w:rPr>
                      <w:sz w:val="20"/>
                    </w:rPr>
                  </w:pPr>
                  <w:r>
                    <w:rPr>
                      <w:sz w:val="20"/>
                    </w:rPr>
                    <w:t>0.000</w:t>
                  </w:r>
                </w:p>
              </w:tc>
            </w:tr>
            <w:tr w:rsidR="0055468C" w:rsidRPr="001E0142" w14:paraId="7D1A71E3" w14:textId="77777777" w:rsidTr="001E0142">
              <w:trPr>
                <w:trHeight w:val="252"/>
              </w:trPr>
              <w:tc>
                <w:tcPr>
                  <w:tcW w:w="1705" w:type="dxa"/>
                  <w:shd w:val="clear" w:color="auto" w:fill="auto"/>
                </w:tcPr>
                <w:p w14:paraId="409E9507" w14:textId="77777777" w:rsidR="0055468C" w:rsidRPr="001E0142" w:rsidRDefault="0055468C" w:rsidP="0055468C">
                  <w:pPr>
                    <w:rPr>
                      <w:sz w:val="20"/>
                    </w:rPr>
                  </w:pPr>
                  <w:r w:rsidRPr="001E0142">
                    <w:rPr>
                      <w:sz w:val="20"/>
                    </w:rPr>
                    <w:t>Goats</w:t>
                  </w:r>
                </w:p>
              </w:tc>
              <w:tc>
                <w:tcPr>
                  <w:tcW w:w="2084" w:type="dxa"/>
                  <w:shd w:val="clear" w:color="auto" w:fill="auto"/>
                </w:tcPr>
                <w:p w14:paraId="1EC816AB" w14:textId="77777777" w:rsidR="0055468C" w:rsidRPr="001E0142" w:rsidRDefault="0061047F" w:rsidP="0055468C">
                  <w:pPr>
                    <w:rPr>
                      <w:sz w:val="20"/>
                    </w:rPr>
                  </w:pPr>
                  <w:r>
                    <w:rPr>
                      <w:sz w:val="20"/>
                    </w:rPr>
                    <w:t>0.000</w:t>
                  </w:r>
                </w:p>
              </w:tc>
            </w:tr>
            <w:tr w:rsidR="0055468C" w:rsidRPr="001E0142" w14:paraId="520942ED" w14:textId="77777777" w:rsidTr="001E0142">
              <w:trPr>
                <w:trHeight w:val="252"/>
              </w:trPr>
              <w:tc>
                <w:tcPr>
                  <w:tcW w:w="1705" w:type="dxa"/>
                  <w:shd w:val="clear" w:color="auto" w:fill="auto"/>
                </w:tcPr>
                <w:p w14:paraId="7A901483" w14:textId="77777777" w:rsidR="0055468C" w:rsidRPr="001E0142" w:rsidRDefault="0055468C" w:rsidP="0055468C">
                  <w:pPr>
                    <w:rPr>
                      <w:sz w:val="20"/>
                    </w:rPr>
                  </w:pPr>
                  <w:r w:rsidRPr="001E0142">
                    <w:rPr>
                      <w:sz w:val="20"/>
                    </w:rPr>
                    <w:t>Sheep</w:t>
                  </w:r>
                </w:p>
              </w:tc>
              <w:tc>
                <w:tcPr>
                  <w:tcW w:w="2084" w:type="dxa"/>
                  <w:shd w:val="clear" w:color="auto" w:fill="auto"/>
                </w:tcPr>
                <w:p w14:paraId="046FD9F5" w14:textId="77777777" w:rsidR="0055468C" w:rsidRPr="001E0142" w:rsidRDefault="0061047F" w:rsidP="0055468C">
                  <w:pPr>
                    <w:rPr>
                      <w:sz w:val="20"/>
                    </w:rPr>
                  </w:pPr>
                  <w:r>
                    <w:rPr>
                      <w:sz w:val="20"/>
                    </w:rPr>
                    <w:t>0.000</w:t>
                  </w:r>
                </w:p>
              </w:tc>
            </w:tr>
            <w:tr w:rsidR="0055468C" w:rsidRPr="001E0142" w14:paraId="580AFA54" w14:textId="77777777" w:rsidTr="001E0142">
              <w:trPr>
                <w:trHeight w:val="252"/>
              </w:trPr>
              <w:tc>
                <w:tcPr>
                  <w:tcW w:w="1705" w:type="dxa"/>
                  <w:shd w:val="clear" w:color="auto" w:fill="auto"/>
                </w:tcPr>
                <w:p w14:paraId="48595D68" w14:textId="77777777" w:rsidR="0055468C" w:rsidRPr="001E0142" w:rsidRDefault="0055468C" w:rsidP="0055468C">
                  <w:pPr>
                    <w:rPr>
                      <w:sz w:val="20"/>
                    </w:rPr>
                  </w:pPr>
                  <w:r w:rsidRPr="001E0142">
                    <w:rPr>
                      <w:sz w:val="20"/>
                    </w:rPr>
                    <w:t>Poultry</w:t>
                  </w:r>
                </w:p>
              </w:tc>
              <w:tc>
                <w:tcPr>
                  <w:tcW w:w="2084" w:type="dxa"/>
                  <w:shd w:val="clear" w:color="auto" w:fill="auto"/>
                </w:tcPr>
                <w:p w14:paraId="27613A6C" w14:textId="77777777" w:rsidR="0055468C" w:rsidRPr="001E0142" w:rsidRDefault="0061047F" w:rsidP="0055468C">
                  <w:pPr>
                    <w:rPr>
                      <w:sz w:val="20"/>
                    </w:rPr>
                  </w:pPr>
                  <w:r>
                    <w:rPr>
                      <w:sz w:val="20"/>
                    </w:rPr>
                    <w:t>0.000</w:t>
                  </w:r>
                </w:p>
              </w:tc>
            </w:tr>
          </w:tbl>
          <w:p w14:paraId="38325217" w14:textId="77777777" w:rsidR="0055468C" w:rsidRPr="0055468C" w:rsidRDefault="0055468C" w:rsidP="0055468C">
            <w:pPr>
              <w:rPr>
                <w:sz w:val="20"/>
              </w:rPr>
            </w:pPr>
          </w:p>
          <w:p w14:paraId="7D841392" w14:textId="77777777" w:rsidR="0055468C" w:rsidRPr="0055468C" w:rsidRDefault="0055468C" w:rsidP="0055468C">
            <w:pPr>
              <w:rPr>
                <w:sz w:val="20"/>
              </w:rPr>
            </w:pPr>
          </w:p>
          <w:p w14:paraId="4EEFB25D" w14:textId="77777777" w:rsidR="0055468C" w:rsidRPr="0055468C" w:rsidRDefault="0055468C" w:rsidP="0055468C">
            <w:pPr>
              <w:rPr>
                <w:sz w:val="20"/>
              </w:rPr>
            </w:pPr>
          </w:p>
          <w:p w14:paraId="5C9A6A08" w14:textId="77777777" w:rsidR="0055468C" w:rsidRPr="0055468C" w:rsidRDefault="0055468C" w:rsidP="0055468C">
            <w:pPr>
              <w:rPr>
                <w:sz w:val="20"/>
              </w:rPr>
            </w:pPr>
          </w:p>
          <w:p w14:paraId="2AE2A35A" w14:textId="77777777" w:rsidR="0055468C" w:rsidRPr="0055468C" w:rsidRDefault="0055468C" w:rsidP="0055468C">
            <w:pPr>
              <w:rPr>
                <w:sz w:val="20"/>
              </w:rPr>
            </w:pPr>
          </w:p>
          <w:p w14:paraId="53A1837E" w14:textId="77777777" w:rsidR="0055468C" w:rsidRPr="0055468C" w:rsidRDefault="0055468C" w:rsidP="0055468C">
            <w:pPr>
              <w:rPr>
                <w:sz w:val="20"/>
              </w:rPr>
            </w:pPr>
          </w:p>
          <w:p w14:paraId="763E63C5" w14:textId="77777777" w:rsidR="0055468C" w:rsidRPr="0055468C" w:rsidRDefault="0055468C" w:rsidP="0055468C">
            <w:pPr>
              <w:rPr>
                <w:sz w:val="20"/>
              </w:rPr>
            </w:pPr>
          </w:p>
          <w:p w14:paraId="52866517" w14:textId="77777777" w:rsidR="0055468C" w:rsidRPr="0055468C" w:rsidRDefault="0055468C" w:rsidP="0055468C">
            <w:pPr>
              <w:rPr>
                <w:sz w:val="20"/>
              </w:rPr>
            </w:pPr>
          </w:p>
          <w:p w14:paraId="08E10C2F" w14:textId="77777777" w:rsidR="0055468C" w:rsidRPr="0055468C" w:rsidRDefault="0055468C" w:rsidP="0055468C">
            <w:pPr>
              <w:rPr>
                <w:sz w:val="20"/>
              </w:rPr>
            </w:pPr>
          </w:p>
          <w:p w14:paraId="3C9D1EF9" w14:textId="77777777" w:rsidR="0055468C" w:rsidRPr="0055468C" w:rsidRDefault="0055468C" w:rsidP="0055468C">
            <w:pPr>
              <w:rPr>
                <w:sz w:val="20"/>
              </w:rPr>
            </w:pPr>
          </w:p>
        </w:tc>
      </w:tr>
      <w:tr w:rsidR="0055468C" w:rsidRPr="000C7CA3" w14:paraId="41C69022" w14:textId="77777777" w:rsidTr="0055468C">
        <w:trPr>
          <w:cantSplit/>
          <w:jc w:val="center"/>
        </w:trPr>
        <w:tc>
          <w:tcPr>
            <w:tcW w:w="2696" w:type="dxa"/>
            <w:shd w:val="clear" w:color="auto" w:fill="D9D9D9"/>
            <w:tcMar>
              <w:top w:w="28" w:type="dxa"/>
              <w:left w:w="57" w:type="dxa"/>
              <w:bottom w:w="28" w:type="dxa"/>
              <w:right w:w="57" w:type="dxa"/>
            </w:tcMar>
            <w:vAlign w:val="center"/>
          </w:tcPr>
          <w:p w14:paraId="6435E621" w14:textId="77777777" w:rsidR="0055468C" w:rsidRPr="003936A5" w:rsidRDefault="0055468C"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02CA6452" w14:textId="77777777" w:rsidR="0055468C" w:rsidRPr="0055468C" w:rsidRDefault="0055468C" w:rsidP="0055468C">
            <w:pPr>
              <w:pStyle w:val="SDMTableBoxParaNotNumbered"/>
              <w:ind w:left="57"/>
            </w:pPr>
            <w:r w:rsidRPr="0055468C">
              <w:t>As per requirement of the methodology and sourced from Tables 10.A-4 through A-9., Chapter 10, Volume 4 of the 2006 IPCC Guidelines</w:t>
            </w:r>
          </w:p>
          <w:p w14:paraId="29775995" w14:textId="77777777" w:rsidR="0055468C" w:rsidRPr="0055468C" w:rsidRDefault="0055468C" w:rsidP="0055468C">
            <w:pPr>
              <w:pStyle w:val="SDMTableBoxParaNotNumbered"/>
              <w:ind w:left="57"/>
            </w:pPr>
          </w:p>
          <w:p w14:paraId="62B48105" w14:textId="77777777" w:rsidR="0055468C" w:rsidRPr="0055468C" w:rsidRDefault="0055468C" w:rsidP="0055468C">
            <w:pPr>
              <w:rPr>
                <w:sz w:val="20"/>
              </w:rPr>
            </w:pPr>
            <w:r w:rsidRPr="0055468C">
              <w:rPr>
                <w:sz w:val="20"/>
              </w:rPr>
              <w:t>The IPCC is a standard, credible source of emissions factors.</w:t>
            </w:r>
          </w:p>
        </w:tc>
      </w:tr>
      <w:tr w:rsidR="0055468C" w:rsidRPr="000C7CA3" w14:paraId="399351E6" w14:textId="77777777" w:rsidTr="0055468C">
        <w:trPr>
          <w:cantSplit/>
          <w:jc w:val="center"/>
        </w:trPr>
        <w:tc>
          <w:tcPr>
            <w:tcW w:w="2696" w:type="dxa"/>
            <w:shd w:val="clear" w:color="auto" w:fill="D9D9D9"/>
            <w:tcMar>
              <w:top w:w="28" w:type="dxa"/>
              <w:left w:w="57" w:type="dxa"/>
              <w:bottom w:w="28" w:type="dxa"/>
              <w:right w:w="57" w:type="dxa"/>
            </w:tcMar>
            <w:vAlign w:val="center"/>
          </w:tcPr>
          <w:p w14:paraId="799430BB" w14:textId="77777777" w:rsidR="0055468C" w:rsidRPr="003936A5" w:rsidRDefault="0055468C"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451E619B" w14:textId="77777777" w:rsidR="0055468C" w:rsidRPr="0055468C" w:rsidRDefault="0055468C" w:rsidP="0055468C">
            <w:pPr>
              <w:rPr>
                <w:sz w:val="20"/>
              </w:rPr>
            </w:pPr>
            <w:r w:rsidRPr="0055468C">
              <w:rPr>
                <w:sz w:val="20"/>
              </w:rPr>
              <w:t>Calculation of baseline emissions</w:t>
            </w:r>
          </w:p>
        </w:tc>
      </w:tr>
      <w:tr w:rsidR="0055468C" w:rsidRPr="000C7CA3" w14:paraId="58C0A35E" w14:textId="77777777" w:rsidTr="0055468C">
        <w:trPr>
          <w:cantSplit/>
          <w:jc w:val="center"/>
        </w:trPr>
        <w:tc>
          <w:tcPr>
            <w:tcW w:w="2696" w:type="dxa"/>
            <w:shd w:val="clear" w:color="auto" w:fill="D9D9D9"/>
            <w:tcMar>
              <w:top w:w="28" w:type="dxa"/>
              <w:left w:w="57" w:type="dxa"/>
              <w:bottom w:w="28" w:type="dxa"/>
              <w:right w:w="57" w:type="dxa"/>
            </w:tcMar>
            <w:vAlign w:val="center"/>
          </w:tcPr>
          <w:p w14:paraId="63B9AF2E" w14:textId="77777777" w:rsidR="0055468C" w:rsidRPr="003936A5" w:rsidRDefault="0055468C"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6582749D" w14:textId="77777777" w:rsidR="0055468C" w:rsidRPr="0055468C" w:rsidRDefault="0055468C" w:rsidP="0055468C">
            <w:pPr>
              <w:rPr>
                <w:sz w:val="20"/>
              </w:rPr>
            </w:pPr>
            <w:r w:rsidRPr="0055468C">
              <w:rPr>
                <w:sz w:val="20"/>
              </w:rPr>
              <w:t>IPCC (2006);</w:t>
            </w:r>
            <w:r w:rsidRPr="0055468C">
              <w:rPr>
                <w:sz w:val="20"/>
                <w:lang w:val="en-US"/>
              </w:rPr>
              <w:t xml:space="preserve"> May be updated according to any future changes by the IPCC</w:t>
            </w:r>
          </w:p>
        </w:tc>
      </w:tr>
    </w:tbl>
    <w:p w14:paraId="71484269" w14:textId="77777777" w:rsidR="0055468C" w:rsidRDefault="0055468C"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55468C" w:rsidRPr="000C7CA3" w14:paraId="20AD50D5" w14:textId="77777777" w:rsidTr="0055468C">
        <w:trPr>
          <w:cantSplit/>
          <w:jc w:val="center"/>
        </w:trPr>
        <w:tc>
          <w:tcPr>
            <w:tcW w:w="2696" w:type="dxa"/>
            <w:shd w:val="clear" w:color="auto" w:fill="D9D9D9"/>
            <w:tcMar>
              <w:top w:w="28" w:type="dxa"/>
              <w:left w:w="57" w:type="dxa"/>
              <w:bottom w:w="28" w:type="dxa"/>
              <w:right w:w="57" w:type="dxa"/>
            </w:tcMar>
            <w:vAlign w:val="center"/>
          </w:tcPr>
          <w:p w14:paraId="7C289A3F" w14:textId="77777777" w:rsidR="0055468C" w:rsidRPr="00A76316" w:rsidRDefault="0055468C"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3CB25680" w14:textId="77777777" w:rsidR="0055468C" w:rsidRPr="0055468C" w:rsidRDefault="0055468C" w:rsidP="0055468C">
            <w:pPr>
              <w:rPr>
                <w:sz w:val="20"/>
              </w:rPr>
            </w:pPr>
            <w:r w:rsidRPr="0055468C">
              <w:rPr>
                <w:b/>
                <w:bCs/>
                <w:sz w:val="20"/>
              </w:rPr>
              <w:t>MCF</w:t>
            </w:r>
          </w:p>
        </w:tc>
      </w:tr>
      <w:tr w:rsidR="0055468C" w:rsidRPr="000C7CA3" w14:paraId="33F46FB0" w14:textId="77777777" w:rsidTr="0055468C">
        <w:trPr>
          <w:cantSplit/>
          <w:jc w:val="center"/>
        </w:trPr>
        <w:tc>
          <w:tcPr>
            <w:tcW w:w="2696" w:type="dxa"/>
            <w:shd w:val="clear" w:color="auto" w:fill="D9D9D9"/>
            <w:tcMar>
              <w:top w:w="28" w:type="dxa"/>
              <w:left w:w="57" w:type="dxa"/>
              <w:bottom w:w="28" w:type="dxa"/>
              <w:right w:w="57" w:type="dxa"/>
            </w:tcMar>
            <w:vAlign w:val="center"/>
          </w:tcPr>
          <w:p w14:paraId="3402B72C" w14:textId="77777777" w:rsidR="0055468C" w:rsidRPr="003936A5" w:rsidDel="00785F13" w:rsidRDefault="0055468C"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6739EAE0" w14:textId="77777777" w:rsidR="0055468C" w:rsidRPr="0055468C" w:rsidRDefault="0055468C" w:rsidP="0055468C">
            <w:pPr>
              <w:rPr>
                <w:sz w:val="20"/>
              </w:rPr>
            </w:pPr>
            <w:r w:rsidRPr="0055468C">
              <w:rPr>
                <w:bCs/>
                <w:sz w:val="20"/>
              </w:rPr>
              <w:t>kg CH</w:t>
            </w:r>
            <w:r w:rsidRPr="0055468C">
              <w:rPr>
                <w:bCs/>
                <w:sz w:val="20"/>
                <w:vertAlign w:val="subscript"/>
              </w:rPr>
              <w:t>4</w:t>
            </w:r>
          </w:p>
        </w:tc>
      </w:tr>
      <w:tr w:rsidR="0055468C" w:rsidRPr="000C7CA3" w14:paraId="5471AC5D" w14:textId="77777777" w:rsidTr="0055468C">
        <w:trPr>
          <w:cantSplit/>
          <w:jc w:val="center"/>
        </w:trPr>
        <w:tc>
          <w:tcPr>
            <w:tcW w:w="2696" w:type="dxa"/>
            <w:shd w:val="clear" w:color="auto" w:fill="D9D9D9"/>
            <w:tcMar>
              <w:top w:w="28" w:type="dxa"/>
              <w:left w:w="57" w:type="dxa"/>
              <w:bottom w:w="28" w:type="dxa"/>
              <w:right w:w="57" w:type="dxa"/>
            </w:tcMar>
            <w:vAlign w:val="center"/>
          </w:tcPr>
          <w:p w14:paraId="436D8462" w14:textId="77777777" w:rsidR="0055468C" w:rsidRPr="003936A5" w:rsidRDefault="0055468C"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5B7C8E73" w14:textId="77777777" w:rsidR="0055468C" w:rsidRPr="0055468C" w:rsidRDefault="0055468C" w:rsidP="0055468C">
            <w:pPr>
              <w:rPr>
                <w:sz w:val="20"/>
              </w:rPr>
            </w:pPr>
            <w:r w:rsidRPr="0055468C">
              <w:rPr>
                <w:bCs/>
                <w:sz w:val="20"/>
              </w:rPr>
              <w:t>Average Methane Conversion Factor for the defined livestock population category T by average temperature (Kenya: 20°C)</w:t>
            </w:r>
          </w:p>
        </w:tc>
      </w:tr>
      <w:tr w:rsidR="0055468C" w:rsidRPr="000C7CA3" w14:paraId="22366688" w14:textId="77777777" w:rsidTr="0055468C">
        <w:trPr>
          <w:cantSplit/>
          <w:jc w:val="center"/>
        </w:trPr>
        <w:tc>
          <w:tcPr>
            <w:tcW w:w="2696" w:type="dxa"/>
            <w:shd w:val="clear" w:color="auto" w:fill="D9D9D9"/>
            <w:tcMar>
              <w:top w:w="28" w:type="dxa"/>
              <w:left w:w="57" w:type="dxa"/>
              <w:bottom w:w="28" w:type="dxa"/>
              <w:right w:w="57" w:type="dxa"/>
            </w:tcMar>
            <w:vAlign w:val="center"/>
          </w:tcPr>
          <w:p w14:paraId="27EE5CC7" w14:textId="77777777" w:rsidR="0055468C" w:rsidRPr="003F461E" w:rsidRDefault="0055468C" w:rsidP="0055468C">
            <w:pPr>
              <w:rPr>
                <w:sz w:val="20"/>
              </w:rPr>
            </w:pPr>
            <w:r w:rsidRPr="003F461E">
              <w:rPr>
                <w:sz w:val="20"/>
              </w:rPr>
              <w:t>Source of data</w:t>
            </w:r>
          </w:p>
        </w:tc>
        <w:tc>
          <w:tcPr>
            <w:tcW w:w="6933" w:type="dxa"/>
            <w:shd w:val="clear" w:color="auto" w:fill="auto"/>
            <w:tcMar>
              <w:top w:w="28" w:type="dxa"/>
              <w:left w:w="57" w:type="dxa"/>
              <w:bottom w:w="28" w:type="dxa"/>
              <w:right w:w="57" w:type="dxa"/>
            </w:tcMar>
            <w:vAlign w:val="center"/>
          </w:tcPr>
          <w:p w14:paraId="7E6A14D5" w14:textId="77777777" w:rsidR="0055468C" w:rsidRPr="003F461E" w:rsidRDefault="009F1357" w:rsidP="003F461E">
            <w:pPr>
              <w:jc w:val="left"/>
              <w:rPr>
                <w:bCs/>
                <w:sz w:val="20"/>
              </w:rPr>
            </w:pPr>
            <w:r w:rsidRPr="003F461E">
              <w:rPr>
                <w:bCs/>
                <w:sz w:val="20"/>
              </w:rPr>
              <w:t xml:space="preserve">‘Survey A Monitoring’, sheet ‘Analysis’ </w:t>
            </w:r>
            <w:r w:rsidR="0061047F">
              <w:rPr>
                <w:bCs/>
                <w:sz w:val="20"/>
              </w:rPr>
              <w:t>(</w:t>
            </w:r>
            <w:r w:rsidR="0061047F" w:rsidRPr="0061047F">
              <w:rPr>
                <w:bCs/>
                <w:sz w:val="20"/>
              </w:rPr>
              <w:t>Kenya VPA1 2014 Baseline Survey Results</w:t>
            </w:r>
            <w:r w:rsidR="0061047F">
              <w:rPr>
                <w:bCs/>
                <w:sz w:val="20"/>
              </w:rPr>
              <w:t>)</w:t>
            </w:r>
          </w:p>
          <w:p w14:paraId="46AE27B7" w14:textId="77777777" w:rsidR="0055468C" w:rsidRPr="003F461E" w:rsidRDefault="0055468C" w:rsidP="003F461E">
            <w:pPr>
              <w:jc w:val="left"/>
              <w:rPr>
                <w:sz w:val="20"/>
              </w:rPr>
            </w:pPr>
            <w:r w:rsidRPr="003F461E">
              <w:rPr>
                <w:bCs/>
                <w:sz w:val="20"/>
              </w:rPr>
              <w:t xml:space="preserve">2006 IPCC Guidelines for National Greenhouse Gas Inventories; Temperature: World Weather Online, </w:t>
            </w:r>
            <w:hyperlink r:id="rId17" w:history="1">
              <w:r w:rsidRPr="003F461E">
                <w:rPr>
                  <w:rStyle w:val="Hyperlink"/>
                  <w:bCs/>
                  <w:sz w:val="20"/>
                </w:rPr>
                <w:t>http://www.worldweatheronline.com/v2/weather-averages.aspx?q=Nairobi,%20Kenya</w:t>
              </w:r>
            </w:hyperlink>
          </w:p>
        </w:tc>
      </w:tr>
      <w:tr w:rsidR="0055468C" w:rsidRPr="000C7CA3" w14:paraId="23318A65" w14:textId="77777777" w:rsidTr="0055468C">
        <w:trPr>
          <w:cantSplit/>
          <w:jc w:val="center"/>
        </w:trPr>
        <w:tc>
          <w:tcPr>
            <w:tcW w:w="2696" w:type="dxa"/>
            <w:shd w:val="clear" w:color="auto" w:fill="D9D9D9"/>
            <w:tcMar>
              <w:top w:w="28" w:type="dxa"/>
              <w:left w:w="57" w:type="dxa"/>
              <w:bottom w:w="28" w:type="dxa"/>
              <w:right w:w="57" w:type="dxa"/>
            </w:tcMar>
            <w:vAlign w:val="center"/>
          </w:tcPr>
          <w:p w14:paraId="1C083B16" w14:textId="77777777" w:rsidR="0055468C" w:rsidRPr="00DD04FE" w:rsidRDefault="0055468C" w:rsidP="00DD04FE">
            <w:pPr>
              <w:jc w:val="left"/>
              <w:rPr>
                <w:bCs/>
                <w:sz w:val="20"/>
              </w:rPr>
            </w:pPr>
            <w:r w:rsidRPr="00DD04FE">
              <w:rPr>
                <w:bCs/>
                <w:sz w:val="20"/>
              </w:rPr>
              <w:t>Value(s) applied</w:t>
            </w:r>
          </w:p>
        </w:tc>
        <w:tc>
          <w:tcPr>
            <w:tcW w:w="6933" w:type="dxa"/>
            <w:shd w:val="clear" w:color="auto" w:fill="auto"/>
            <w:tcMar>
              <w:top w:w="28" w:type="dxa"/>
              <w:left w:w="57" w:type="dxa"/>
              <w:bottom w:w="28" w:type="dxa"/>
              <w:right w:w="57" w:type="dxa"/>
            </w:tcMar>
            <w:vAlign w:val="center"/>
          </w:tcPr>
          <w:p w14:paraId="02CF8001" w14:textId="77777777" w:rsidR="0055468C" w:rsidRPr="00DD04FE" w:rsidRDefault="0055468C" w:rsidP="00DD04FE">
            <w:pPr>
              <w:jc w:val="left"/>
              <w:rPr>
                <w:bCs/>
                <w:sz w:val="20"/>
              </w:rPr>
            </w:pPr>
          </w:p>
          <w:p w14:paraId="6D6E6500" w14:textId="77777777" w:rsidR="0055468C" w:rsidRPr="00DD04FE" w:rsidRDefault="00DD04FE" w:rsidP="00DD04FE">
            <w:pPr>
              <w:jc w:val="left"/>
              <w:rPr>
                <w:bCs/>
                <w:sz w:val="20"/>
              </w:rPr>
            </w:pPr>
            <w:r w:rsidRPr="00DD04FE">
              <w:rPr>
                <w:bCs/>
                <w:sz w:val="20"/>
              </w:rPr>
              <w:t>3.39 %</w:t>
            </w:r>
          </w:p>
          <w:p w14:paraId="3F25AB83" w14:textId="77777777" w:rsidR="0055468C" w:rsidRPr="00DD04FE" w:rsidRDefault="0055468C" w:rsidP="00DD04FE">
            <w:pPr>
              <w:jc w:val="left"/>
              <w:rPr>
                <w:bCs/>
                <w:sz w:val="20"/>
              </w:rPr>
            </w:pPr>
          </w:p>
        </w:tc>
      </w:tr>
      <w:tr w:rsidR="0055468C" w:rsidRPr="000C7CA3" w14:paraId="68F4BBCD" w14:textId="77777777" w:rsidTr="0055468C">
        <w:trPr>
          <w:cantSplit/>
          <w:jc w:val="center"/>
        </w:trPr>
        <w:tc>
          <w:tcPr>
            <w:tcW w:w="2696" w:type="dxa"/>
            <w:shd w:val="clear" w:color="auto" w:fill="D9D9D9"/>
            <w:tcMar>
              <w:top w:w="28" w:type="dxa"/>
              <w:left w:w="57" w:type="dxa"/>
              <w:bottom w:w="28" w:type="dxa"/>
              <w:right w:w="57" w:type="dxa"/>
            </w:tcMar>
            <w:vAlign w:val="center"/>
          </w:tcPr>
          <w:p w14:paraId="3E971B4F" w14:textId="77777777" w:rsidR="0055468C" w:rsidRPr="003936A5" w:rsidRDefault="0055468C"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45FF7EA4" w14:textId="77777777" w:rsidR="0055468C" w:rsidRPr="0055468C" w:rsidRDefault="0055468C" w:rsidP="0055468C">
            <w:pPr>
              <w:pStyle w:val="SDMTableBoxParaNotNumbered"/>
              <w:jc w:val="both"/>
              <w:rPr>
                <w:bCs/>
              </w:rPr>
            </w:pPr>
            <w:r w:rsidRPr="0055468C">
              <w:rPr>
                <w:bCs/>
              </w:rPr>
              <w:t>As per requirement of the methodology and sourced from Tables 10.A-4 through A-9., Chapter 10, Volume 4 of the 2006 IPCC Guidelines</w:t>
            </w:r>
          </w:p>
          <w:p w14:paraId="75AA245B" w14:textId="77777777" w:rsidR="0055468C" w:rsidRPr="0055468C" w:rsidRDefault="0055468C" w:rsidP="0055468C">
            <w:pPr>
              <w:pStyle w:val="SDMTableBoxParaNotNumbered"/>
              <w:jc w:val="both"/>
              <w:rPr>
                <w:bCs/>
              </w:rPr>
            </w:pPr>
          </w:p>
          <w:p w14:paraId="1B419B8A" w14:textId="77777777" w:rsidR="0055468C" w:rsidRPr="0055468C" w:rsidRDefault="0055468C" w:rsidP="0055468C">
            <w:pPr>
              <w:pStyle w:val="SDMTableBoxParaNotNumbered"/>
              <w:jc w:val="both"/>
            </w:pPr>
            <w:r w:rsidRPr="0055468C">
              <w:rPr>
                <w:bCs/>
              </w:rPr>
              <w:t>The IPCC is a standard, credible source of emissions factors</w:t>
            </w:r>
            <w:r w:rsidRPr="0055468C">
              <w:rPr>
                <w:bCs/>
                <w:i/>
              </w:rPr>
              <w:t>.</w:t>
            </w:r>
          </w:p>
          <w:p w14:paraId="3EF8C6F0" w14:textId="77777777" w:rsidR="0055468C" w:rsidRPr="0055468C" w:rsidRDefault="0055468C" w:rsidP="0055468C">
            <w:pPr>
              <w:rPr>
                <w:sz w:val="20"/>
              </w:rPr>
            </w:pPr>
          </w:p>
        </w:tc>
      </w:tr>
      <w:tr w:rsidR="0055468C" w:rsidRPr="000C7CA3" w14:paraId="5125F604" w14:textId="77777777" w:rsidTr="0055468C">
        <w:trPr>
          <w:cantSplit/>
          <w:jc w:val="center"/>
        </w:trPr>
        <w:tc>
          <w:tcPr>
            <w:tcW w:w="2696" w:type="dxa"/>
            <w:shd w:val="clear" w:color="auto" w:fill="D9D9D9"/>
            <w:tcMar>
              <w:top w:w="28" w:type="dxa"/>
              <w:left w:w="57" w:type="dxa"/>
              <w:bottom w:w="28" w:type="dxa"/>
              <w:right w:w="57" w:type="dxa"/>
            </w:tcMar>
            <w:vAlign w:val="center"/>
          </w:tcPr>
          <w:p w14:paraId="0FD5A6C7" w14:textId="77777777" w:rsidR="0055468C" w:rsidRPr="003936A5" w:rsidRDefault="0055468C"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126BEB13" w14:textId="77777777" w:rsidR="0055468C" w:rsidRPr="0055468C" w:rsidRDefault="0055468C" w:rsidP="0055468C">
            <w:pPr>
              <w:rPr>
                <w:sz w:val="20"/>
              </w:rPr>
            </w:pPr>
            <w:r w:rsidRPr="0055468C">
              <w:rPr>
                <w:bCs/>
                <w:sz w:val="20"/>
              </w:rPr>
              <w:t>Calculation of baseline emissions</w:t>
            </w:r>
          </w:p>
        </w:tc>
      </w:tr>
      <w:tr w:rsidR="0055468C" w:rsidRPr="000C7CA3" w14:paraId="6D161949" w14:textId="77777777" w:rsidTr="0055468C">
        <w:trPr>
          <w:cantSplit/>
          <w:jc w:val="center"/>
        </w:trPr>
        <w:tc>
          <w:tcPr>
            <w:tcW w:w="2696" w:type="dxa"/>
            <w:shd w:val="clear" w:color="auto" w:fill="D9D9D9"/>
            <w:tcMar>
              <w:top w:w="28" w:type="dxa"/>
              <w:left w:w="57" w:type="dxa"/>
              <w:bottom w:w="28" w:type="dxa"/>
              <w:right w:w="57" w:type="dxa"/>
            </w:tcMar>
            <w:vAlign w:val="center"/>
          </w:tcPr>
          <w:p w14:paraId="385BE78C" w14:textId="77777777" w:rsidR="0055468C" w:rsidRPr="003936A5" w:rsidRDefault="0055468C"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38CEB582" w14:textId="77777777" w:rsidR="0055468C" w:rsidRPr="0055468C" w:rsidRDefault="0055468C" w:rsidP="0055468C">
            <w:pPr>
              <w:rPr>
                <w:sz w:val="20"/>
              </w:rPr>
            </w:pPr>
            <w:r w:rsidRPr="0055468C">
              <w:rPr>
                <w:bCs/>
                <w:sz w:val="20"/>
              </w:rPr>
              <w:t>IPCC (2006);</w:t>
            </w:r>
            <w:r w:rsidRPr="0055468C">
              <w:rPr>
                <w:bCs/>
                <w:sz w:val="20"/>
                <w:lang w:val="en-US"/>
              </w:rPr>
              <w:t xml:space="preserve"> May be updated according to any future changes by the IPCC</w:t>
            </w:r>
          </w:p>
        </w:tc>
      </w:tr>
    </w:tbl>
    <w:p w14:paraId="03D4F64A" w14:textId="77777777" w:rsidR="0055468C" w:rsidRDefault="0055468C"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55468C" w:rsidRPr="000C7CA3" w14:paraId="0027C057" w14:textId="77777777" w:rsidTr="0055468C">
        <w:trPr>
          <w:cantSplit/>
          <w:jc w:val="center"/>
        </w:trPr>
        <w:tc>
          <w:tcPr>
            <w:tcW w:w="2696" w:type="dxa"/>
            <w:shd w:val="clear" w:color="auto" w:fill="D9D9D9"/>
            <w:tcMar>
              <w:top w:w="28" w:type="dxa"/>
              <w:left w:w="57" w:type="dxa"/>
              <w:bottom w:w="28" w:type="dxa"/>
              <w:right w:w="57" w:type="dxa"/>
            </w:tcMar>
            <w:vAlign w:val="center"/>
          </w:tcPr>
          <w:p w14:paraId="1BF93699" w14:textId="77777777" w:rsidR="0055468C" w:rsidRPr="00A76316" w:rsidRDefault="0055468C" w:rsidP="0055468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42B04A86" w14:textId="77777777" w:rsidR="0055468C" w:rsidRPr="00E00B28" w:rsidRDefault="00E00B28" w:rsidP="0055468C">
            <w:pPr>
              <w:rPr>
                <w:sz w:val="20"/>
              </w:rPr>
            </w:pPr>
            <w:r w:rsidRPr="00E00B28">
              <w:rPr>
                <w:b/>
                <w:sz w:val="20"/>
              </w:rPr>
              <w:t>η</w:t>
            </w:r>
            <w:r w:rsidRPr="00E00B28">
              <w:rPr>
                <w:b/>
                <w:sz w:val="20"/>
                <w:vertAlign w:val="subscript"/>
              </w:rPr>
              <w:t>biogas</w:t>
            </w:r>
            <w:r w:rsidRPr="00E00B28">
              <w:rPr>
                <w:b/>
                <w:iCs/>
                <w:sz w:val="20"/>
                <w:vertAlign w:val="subscript"/>
              </w:rPr>
              <w:t xml:space="preserve"> stove</w:t>
            </w:r>
          </w:p>
        </w:tc>
      </w:tr>
      <w:tr w:rsidR="0055468C" w:rsidRPr="000C7CA3" w14:paraId="431798C5" w14:textId="77777777" w:rsidTr="0055468C">
        <w:trPr>
          <w:cantSplit/>
          <w:jc w:val="center"/>
        </w:trPr>
        <w:tc>
          <w:tcPr>
            <w:tcW w:w="2696" w:type="dxa"/>
            <w:shd w:val="clear" w:color="auto" w:fill="D9D9D9"/>
            <w:tcMar>
              <w:top w:w="28" w:type="dxa"/>
              <w:left w:w="57" w:type="dxa"/>
              <w:bottom w:w="28" w:type="dxa"/>
              <w:right w:w="57" w:type="dxa"/>
            </w:tcMar>
            <w:vAlign w:val="center"/>
          </w:tcPr>
          <w:p w14:paraId="100A6BED" w14:textId="77777777" w:rsidR="0055468C" w:rsidRPr="003936A5" w:rsidDel="00785F13" w:rsidRDefault="0055468C" w:rsidP="0055468C">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7ADB1DEA" w14:textId="77777777" w:rsidR="0055468C" w:rsidRPr="00E00B28" w:rsidRDefault="00E00B28" w:rsidP="0055468C">
            <w:pPr>
              <w:rPr>
                <w:sz w:val="20"/>
              </w:rPr>
            </w:pPr>
            <w:r w:rsidRPr="00E00B28">
              <w:rPr>
                <w:sz w:val="20"/>
              </w:rPr>
              <w:t>Fraction</w:t>
            </w:r>
          </w:p>
        </w:tc>
      </w:tr>
      <w:tr w:rsidR="0055468C" w:rsidRPr="000C7CA3" w14:paraId="62FA6B1D" w14:textId="77777777" w:rsidTr="0055468C">
        <w:trPr>
          <w:cantSplit/>
          <w:jc w:val="center"/>
        </w:trPr>
        <w:tc>
          <w:tcPr>
            <w:tcW w:w="2696" w:type="dxa"/>
            <w:shd w:val="clear" w:color="auto" w:fill="D9D9D9"/>
            <w:tcMar>
              <w:top w:w="28" w:type="dxa"/>
              <w:left w:w="57" w:type="dxa"/>
              <w:bottom w:w="28" w:type="dxa"/>
              <w:right w:w="57" w:type="dxa"/>
            </w:tcMar>
            <w:vAlign w:val="center"/>
          </w:tcPr>
          <w:p w14:paraId="7B4C85DE" w14:textId="77777777" w:rsidR="0055468C" w:rsidRPr="003936A5" w:rsidRDefault="0055468C" w:rsidP="0055468C">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41B8A0B7" w14:textId="77777777" w:rsidR="0055468C" w:rsidRPr="00E00B28" w:rsidRDefault="00E00B28" w:rsidP="0055468C">
            <w:pPr>
              <w:rPr>
                <w:sz w:val="20"/>
              </w:rPr>
            </w:pPr>
            <w:r w:rsidRPr="00E00B28">
              <w:rPr>
                <w:sz w:val="20"/>
              </w:rPr>
              <w:t>Combustion efficiency of the new biogas stove introduced by the programme</w:t>
            </w:r>
          </w:p>
        </w:tc>
      </w:tr>
      <w:tr w:rsidR="0055468C" w:rsidRPr="000C7CA3" w14:paraId="65AB582D" w14:textId="77777777" w:rsidTr="0055468C">
        <w:trPr>
          <w:cantSplit/>
          <w:jc w:val="center"/>
        </w:trPr>
        <w:tc>
          <w:tcPr>
            <w:tcW w:w="2696" w:type="dxa"/>
            <w:shd w:val="clear" w:color="auto" w:fill="D9D9D9"/>
            <w:tcMar>
              <w:top w:w="28" w:type="dxa"/>
              <w:left w:w="57" w:type="dxa"/>
              <w:bottom w:w="28" w:type="dxa"/>
              <w:right w:w="57" w:type="dxa"/>
            </w:tcMar>
            <w:vAlign w:val="center"/>
          </w:tcPr>
          <w:p w14:paraId="3BEC212F" w14:textId="77777777" w:rsidR="0055468C" w:rsidRPr="003936A5" w:rsidRDefault="0055468C" w:rsidP="0055468C">
            <w:pPr>
              <w:rPr>
                <w:sz w:val="20"/>
              </w:rPr>
            </w:pPr>
            <w:r w:rsidRPr="003936A5">
              <w:rPr>
                <w:sz w:val="20"/>
              </w:rPr>
              <w:lastRenderedPageBreak/>
              <w:t>Source of data</w:t>
            </w:r>
          </w:p>
        </w:tc>
        <w:tc>
          <w:tcPr>
            <w:tcW w:w="6933" w:type="dxa"/>
            <w:shd w:val="clear" w:color="auto" w:fill="auto"/>
            <w:tcMar>
              <w:top w:w="28" w:type="dxa"/>
              <w:left w:w="57" w:type="dxa"/>
              <w:bottom w:w="28" w:type="dxa"/>
              <w:right w:w="57" w:type="dxa"/>
            </w:tcMar>
            <w:vAlign w:val="center"/>
          </w:tcPr>
          <w:p w14:paraId="6CC1E642" w14:textId="77777777" w:rsidR="0055468C" w:rsidRPr="00E00B28" w:rsidRDefault="00E00B28" w:rsidP="0055468C">
            <w:pPr>
              <w:rPr>
                <w:sz w:val="20"/>
              </w:rPr>
            </w:pPr>
            <w:r w:rsidRPr="00E00B28">
              <w:rPr>
                <w:sz w:val="20"/>
                <w:lang w:val="en-US"/>
              </w:rPr>
              <w:t>Manufacturers specification or water boiling test result</w:t>
            </w:r>
          </w:p>
        </w:tc>
      </w:tr>
      <w:tr w:rsidR="0055468C" w:rsidRPr="000C7CA3" w14:paraId="0F33B04B" w14:textId="77777777" w:rsidTr="0055468C">
        <w:trPr>
          <w:cantSplit/>
          <w:jc w:val="center"/>
        </w:trPr>
        <w:tc>
          <w:tcPr>
            <w:tcW w:w="2696" w:type="dxa"/>
            <w:shd w:val="clear" w:color="auto" w:fill="D9D9D9"/>
            <w:tcMar>
              <w:top w:w="28" w:type="dxa"/>
              <w:left w:w="57" w:type="dxa"/>
              <w:bottom w:w="28" w:type="dxa"/>
              <w:right w:w="57" w:type="dxa"/>
            </w:tcMar>
            <w:vAlign w:val="center"/>
          </w:tcPr>
          <w:p w14:paraId="7962AD41" w14:textId="77777777" w:rsidR="0055468C" w:rsidRPr="003936A5" w:rsidRDefault="0055468C" w:rsidP="0055468C">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599DA0EE" w14:textId="77777777" w:rsidR="0055468C" w:rsidRPr="00E00B28" w:rsidRDefault="00E00B28" w:rsidP="0055468C">
            <w:pPr>
              <w:rPr>
                <w:sz w:val="20"/>
              </w:rPr>
            </w:pPr>
            <w:r w:rsidRPr="00E00B28">
              <w:rPr>
                <w:sz w:val="20"/>
              </w:rPr>
              <w:t>0.55</w:t>
            </w:r>
          </w:p>
        </w:tc>
      </w:tr>
      <w:tr w:rsidR="0055468C" w:rsidRPr="000C7CA3" w14:paraId="4650E0E2" w14:textId="77777777" w:rsidTr="0055468C">
        <w:trPr>
          <w:cantSplit/>
          <w:jc w:val="center"/>
        </w:trPr>
        <w:tc>
          <w:tcPr>
            <w:tcW w:w="2696" w:type="dxa"/>
            <w:shd w:val="clear" w:color="auto" w:fill="D9D9D9"/>
            <w:tcMar>
              <w:top w:w="28" w:type="dxa"/>
              <w:left w:w="57" w:type="dxa"/>
              <w:bottom w:w="28" w:type="dxa"/>
              <w:right w:w="57" w:type="dxa"/>
            </w:tcMar>
            <w:vAlign w:val="center"/>
          </w:tcPr>
          <w:p w14:paraId="4CFEDAF4" w14:textId="77777777" w:rsidR="0055468C" w:rsidRPr="003936A5" w:rsidRDefault="0055468C" w:rsidP="0055468C">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6809"/>
            </w:tblGrid>
            <w:tr w:rsidR="00E00B28" w:rsidRPr="00E00B28" w14:paraId="7315D422" w14:textId="77777777" w:rsidTr="00E00B28">
              <w:trPr>
                <w:cantSplit/>
                <w:jc w:val="center"/>
              </w:trPr>
              <w:tc>
                <w:tcPr>
                  <w:tcW w:w="3881" w:type="pct"/>
                  <w:tcBorders>
                    <w:top w:val="single" w:sz="4" w:space="0" w:color="auto"/>
                    <w:left w:val="single" w:sz="4" w:space="0" w:color="auto"/>
                    <w:bottom w:val="single" w:sz="4" w:space="0" w:color="auto"/>
                    <w:right w:val="single" w:sz="4" w:space="0" w:color="auto"/>
                  </w:tcBorders>
                </w:tcPr>
                <w:p w14:paraId="682294D6" w14:textId="77777777" w:rsidR="00E00B28" w:rsidRPr="00E00B28" w:rsidRDefault="00752C67" w:rsidP="00E00B28">
                  <w:pPr>
                    <w:pStyle w:val="SDMTableBoxParaNotNumbered"/>
                    <w:rPr>
                      <w:lang w:val="en-US"/>
                    </w:rPr>
                  </w:pPr>
                  <w:r>
                    <w:rPr>
                      <w:lang w:val="en-US"/>
                    </w:rPr>
                    <w:t>KBP</w:t>
                  </w:r>
                  <w:r w:rsidRPr="00E00B28">
                    <w:rPr>
                      <w:lang w:val="en-US"/>
                    </w:rPr>
                    <w:t xml:space="preserve"> </w:t>
                  </w:r>
                  <w:r w:rsidR="00E00B28" w:rsidRPr="00E00B28">
                    <w:rPr>
                      <w:lang w:val="en-US"/>
                    </w:rPr>
                    <w:t xml:space="preserve">does not specify the type of biogas stove that should be installed by a household, however they specifically promote the following five stove types: </w:t>
                  </w:r>
                </w:p>
                <w:p w14:paraId="11B4B98D" w14:textId="77777777" w:rsidR="00E00B28" w:rsidRPr="00E00B28" w:rsidRDefault="00E00B28" w:rsidP="00E00B28">
                  <w:pPr>
                    <w:pStyle w:val="SDMTableBoxParaNotNumbered"/>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0"/>
                    <w:gridCol w:w="1480"/>
                    <w:gridCol w:w="1480"/>
                    <w:gridCol w:w="1480"/>
                    <w:gridCol w:w="30"/>
                  </w:tblGrid>
                  <w:tr w:rsidR="00E00B28" w:rsidRPr="00E00B28" w14:paraId="1B52126B" w14:textId="77777777" w:rsidTr="008341EA">
                    <w:trPr>
                      <w:trHeight w:val="230"/>
                    </w:trPr>
                    <w:tc>
                      <w:tcPr>
                        <w:tcW w:w="1480" w:type="dxa"/>
                        <w:tcBorders>
                          <w:top w:val="single" w:sz="4" w:space="0" w:color="auto"/>
                          <w:left w:val="single" w:sz="4" w:space="0" w:color="auto"/>
                          <w:bottom w:val="single" w:sz="4" w:space="0" w:color="auto"/>
                          <w:right w:val="single" w:sz="4" w:space="0" w:color="auto"/>
                        </w:tcBorders>
                        <w:hideMark/>
                      </w:tcPr>
                      <w:p w14:paraId="5D3F0799" w14:textId="77777777" w:rsidR="00E00B28" w:rsidRPr="00E00B28" w:rsidRDefault="00E00B28" w:rsidP="00E00B28">
                        <w:pPr>
                          <w:pStyle w:val="SDMTableBoxParaNotNumbered"/>
                          <w:rPr>
                            <w:lang w:val="en-US"/>
                          </w:rPr>
                        </w:pPr>
                        <w:r w:rsidRPr="00E00B28">
                          <w:rPr>
                            <w:lang w:val="en-US"/>
                          </w:rPr>
                          <w:t xml:space="preserve">Manufacturer </w:t>
                        </w:r>
                      </w:p>
                    </w:tc>
                    <w:tc>
                      <w:tcPr>
                        <w:tcW w:w="1480" w:type="dxa"/>
                        <w:tcBorders>
                          <w:top w:val="single" w:sz="4" w:space="0" w:color="auto"/>
                          <w:left w:val="single" w:sz="4" w:space="0" w:color="auto"/>
                          <w:bottom w:val="single" w:sz="4" w:space="0" w:color="auto"/>
                          <w:right w:val="single" w:sz="4" w:space="0" w:color="auto"/>
                        </w:tcBorders>
                        <w:hideMark/>
                      </w:tcPr>
                      <w:p w14:paraId="56136D52" w14:textId="77777777" w:rsidR="00E00B28" w:rsidRPr="00E00B28" w:rsidRDefault="00E00B28" w:rsidP="00E00B28">
                        <w:pPr>
                          <w:pStyle w:val="SDMTableBoxParaNotNumbered"/>
                          <w:rPr>
                            <w:lang w:val="en-US"/>
                          </w:rPr>
                        </w:pPr>
                        <w:r w:rsidRPr="00E00B28">
                          <w:rPr>
                            <w:lang w:val="en-US"/>
                          </w:rPr>
                          <w:t xml:space="preserve"> Model No. / Name </w:t>
                        </w:r>
                      </w:p>
                    </w:tc>
                    <w:tc>
                      <w:tcPr>
                        <w:tcW w:w="1480" w:type="dxa"/>
                        <w:tcBorders>
                          <w:top w:val="single" w:sz="4" w:space="0" w:color="auto"/>
                          <w:left w:val="single" w:sz="4" w:space="0" w:color="auto"/>
                          <w:bottom w:val="single" w:sz="4" w:space="0" w:color="auto"/>
                          <w:right w:val="single" w:sz="4" w:space="0" w:color="auto"/>
                        </w:tcBorders>
                        <w:hideMark/>
                      </w:tcPr>
                      <w:p w14:paraId="4255BC7A" w14:textId="77777777" w:rsidR="00E00B28" w:rsidRPr="00E00B28" w:rsidRDefault="00E00B28" w:rsidP="00E00B28">
                        <w:pPr>
                          <w:pStyle w:val="SDMTableBoxParaNotNumbered"/>
                          <w:rPr>
                            <w:lang w:val="en-US"/>
                          </w:rPr>
                        </w:pPr>
                        <w:r w:rsidRPr="00E00B28">
                          <w:rPr>
                            <w:lang w:val="en-US"/>
                          </w:rPr>
                          <w:t xml:space="preserve"> No. of burners </w:t>
                        </w:r>
                      </w:p>
                    </w:tc>
                    <w:tc>
                      <w:tcPr>
                        <w:tcW w:w="1480" w:type="dxa"/>
                        <w:tcBorders>
                          <w:top w:val="single" w:sz="4" w:space="0" w:color="auto"/>
                          <w:left w:val="single" w:sz="4" w:space="0" w:color="auto"/>
                          <w:bottom w:val="single" w:sz="4" w:space="0" w:color="auto"/>
                          <w:right w:val="single" w:sz="4" w:space="0" w:color="auto"/>
                        </w:tcBorders>
                        <w:hideMark/>
                      </w:tcPr>
                      <w:p w14:paraId="6E2C7E6B" w14:textId="77777777" w:rsidR="00E00B28" w:rsidRPr="00E00B28" w:rsidRDefault="00E00B28" w:rsidP="00E00B28">
                        <w:pPr>
                          <w:pStyle w:val="SDMTableBoxParaNotNumbered"/>
                          <w:rPr>
                            <w:lang w:val="en-US"/>
                          </w:rPr>
                        </w:pPr>
                        <w:r w:rsidRPr="00E00B28">
                          <w:rPr>
                            <w:lang w:val="en-US"/>
                          </w:rPr>
                          <w:t xml:space="preserve"> Thermal Efficiency </w:t>
                        </w:r>
                      </w:p>
                    </w:tc>
                    <w:tc>
                      <w:tcPr>
                        <w:tcW w:w="30" w:type="dxa"/>
                        <w:tcBorders>
                          <w:top w:val="single" w:sz="4" w:space="0" w:color="auto"/>
                          <w:left w:val="single" w:sz="4" w:space="0" w:color="auto"/>
                          <w:bottom w:val="single" w:sz="4" w:space="0" w:color="auto"/>
                          <w:right w:val="single" w:sz="4" w:space="0" w:color="auto"/>
                        </w:tcBorders>
                        <w:hideMark/>
                      </w:tcPr>
                      <w:p w14:paraId="3BFAB081" w14:textId="77777777" w:rsidR="00E00B28" w:rsidRPr="00E00B28" w:rsidRDefault="00E00B28" w:rsidP="00E00B28">
                        <w:pPr>
                          <w:pStyle w:val="SDMTableBoxParaNotNumbered"/>
                        </w:pPr>
                        <w:r w:rsidRPr="00E00B28">
                          <w:t xml:space="preserve"> </w:t>
                        </w:r>
                      </w:p>
                    </w:tc>
                  </w:tr>
                  <w:tr w:rsidR="00E00B28" w:rsidRPr="00E00B28" w14:paraId="1A032E7F" w14:textId="77777777" w:rsidTr="008341EA">
                    <w:trPr>
                      <w:trHeight w:val="122"/>
                    </w:trPr>
                    <w:tc>
                      <w:tcPr>
                        <w:tcW w:w="1480" w:type="dxa"/>
                        <w:tcBorders>
                          <w:top w:val="single" w:sz="4" w:space="0" w:color="auto"/>
                          <w:left w:val="single" w:sz="4" w:space="0" w:color="auto"/>
                          <w:bottom w:val="single" w:sz="4" w:space="0" w:color="auto"/>
                          <w:right w:val="single" w:sz="4" w:space="0" w:color="auto"/>
                        </w:tcBorders>
                        <w:hideMark/>
                      </w:tcPr>
                      <w:p w14:paraId="36994646" w14:textId="77777777" w:rsidR="00E00B28" w:rsidRPr="00E00B28" w:rsidRDefault="00E00B28" w:rsidP="00E00B28">
                        <w:pPr>
                          <w:pStyle w:val="SDMTableBoxParaNotNumbered"/>
                          <w:rPr>
                            <w:lang w:val="en-US"/>
                          </w:rPr>
                        </w:pPr>
                        <w:r w:rsidRPr="00E00B28">
                          <w:rPr>
                            <w:lang w:val="en-US"/>
                          </w:rPr>
                          <w:t xml:space="preserve"> Puxin </w:t>
                        </w:r>
                      </w:p>
                    </w:tc>
                    <w:tc>
                      <w:tcPr>
                        <w:tcW w:w="1480" w:type="dxa"/>
                        <w:tcBorders>
                          <w:top w:val="single" w:sz="4" w:space="0" w:color="auto"/>
                          <w:left w:val="single" w:sz="4" w:space="0" w:color="auto"/>
                          <w:bottom w:val="single" w:sz="4" w:space="0" w:color="auto"/>
                          <w:right w:val="single" w:sz="4" w:space="0" w:color="auto"/>
                        </w:tcBorders>
                        <w:hideMark/>
                      </w:tcPr>
                      <w:p w14:paraId="3129B622" w14:textId="77777777" w:rsidR="00E00B28" w:rsidRPr="00E00B28" w:rsidRDefault="00E00B28" w:rsidP="00E00B28">
                        <w:pPr>
                          <w:pStyle w:val="SDMTableBoxParaNotNumbered"/>
                          <w:rPr>
                            <w:lang w:val="en-US"/>
                          </w:rPr>
                        </w:pPr>
                        <w:r w:rsidRPr="00E00B28">
                          <w:rPr>
                            <w:lang w:val="en-US"/>
                          </w:rPr>
                          <w:t xml:space="preserve"> JZZ2-A13 </w:t>
                        </w:r>
                      </w:p>
                    </w:tc>
                    <w:tc>
                      <w:tcPr>
                        <w:tcW w:w="1480" w:type="dxa"/>
                        <w:tcBorders>
                          <w:top w:val="single" w:sz="4" w:space="0" w:color="auto"/>
                          <w:left w:val="single" w:sz="4" w:space="0" w:color="auto"/>
                          <w:bottom w:val="single" w:sz="4" w:space="0" w:color="auto"/>
                          <w:right w:val="single" w:sz="4" w:space="0" w:color="auto"/>
                        </w:tcBorders>
                        <w:hideMark/>
                      </w:tcPr>
                      <w:p w14:paraId="283D13DD" w14:textId="77777777" w:rsidR="00E00B28" w:rsidRPr="00E00B28" w:rsidRDefault="00E00B28" w:rsidP="00E00B28">
                        <w:pPr>
                          <w:pStyle w:val="SDMTableBoxParaNotNumbered"/>
                          <w:rPr>
                            <w:lang w:val="en-US"/>
                          </w:rPr>
                        </w:pPr>
                        <w:r w:rsidRPr="00E00B28">
                          <w:rPr>
                            <w:lang w:val="en-US"/>
                          </w:rPr>
                          <w:t xml:space="preserve"> 2 </w:t>
                        </w:r>
                      </w:p>
                    </w:tc>
                    <w:tc>
                      <w:tcPr>
                        <w:tcW w:w="1480" w:type="dxa"/>
                        <w:tcBorders>
                          <w:top w:val="single" w:sz="4" w:space="0" w:color="auto"/>
                          <w:left w:val="single" w:sz="4" w:space="0" w:color="auto"/>
                          <w:bottom w:val="single" w:sz="4" w:space="0" w:color="auto"/>
                          <w:right w:val="single" w:sz="4" w:space="0" w:color="auto"/>
                        </w:tcBorders>
                        <w:hideMark/>
                      </w:tcPr>
                      <w:p w14:paraId="4A2FD323" w14:textId="77777777" w:rsidR="00E00B28" w:rsidRPr="00E00B28" w:rsidRDefault="00E00B28" w:rsidP="00E00B28">
                        <w:pPr>
                          <w:pStyle w:val="SDMTableBoxParaNotNumbered"/>
                          <w:rPr>
                            <w:lang w:val="en-US"/>
                          </w:rPr>
                        </w:pPr>
                        <w:r w:rsidRPr="00E00B28">
                          <w:rPr>
                            <w:lang w:val="en-US"/>
                          </w:rPr>
                          <w:t xml:space="preserve"> &gt;57%</w:t>
                        </w:r>
                      </w:p>
                    </w:tc>
                    <w:tc>
                      <w:tcPr>
                        <w:tcW w:w="30" w:type="dxa"/>
                        <w:tcBorders>
                          <w:top w:val="single" w:sz="4" w:space="0" w:color="auto"/>
                          <w:left w:val="single" w:sz="4" w:space="0" w:color="auto"/>
                          <w:bottom w:val="single" w:sz="4" w:space="0" w:color="auto"/>
                          <w:right w:val="single" w:sz="4" w:space="0" w:color="auto"/>
                        </w:tcBorders>
                        <w:hideMark/>
                      </w:tcPr>
                      <w:p w14:paraId="27C3B4FE" w14:textId="77777777" w:rsidR="00E00B28" w:rsidRPr="00E00B28" w:rsidRDefault="00E00B28" w:rsidP="00E00B28">
                        <w:pPr>
                          <w:pStyle w:val="SDMTableBoxParaNotNumbered"/>
                        </w:pPr>
                        <w:r w:rsidRPr="00E00B28">
                          <w:t xml:space="preserve"> </w:t>
                        </w:r>
                      </w:p>
                    </w:tc>
                  </w:tr>
                  <w:tr w:rsidR="00E00B28" w:rsidRPr="00E00B28" w14:paraId="327977E6" w14:textId="77777777" w:rsidTr="008341EA">
                    <w:trPr>
                      <w:trHeight w:val="122"/>
                    </w:trPr>
                    <w:tc>
                      <w:tcPr>
                        <w:tcW w:w="1480" w:type="dxa"/>
                        <w:tcBorders>
                          <w:top w:val="single" w:sz="4" w:space="0" w:color="auto"/>
                          <w:left w:val="single" w:sz="4" w:space="0" w:color="auto"/>
                          <w:bottom w:val="single" w:sz="4" w:space="0" w:color="auto"/>
                          <w:right w:val="single" w:sz="4" w:space="0" w:color="auto"/>
                        </w:tcBorders>
                        <w:hideMark/>
                      </w:tcPr>
                      <w:p w14:paraId="071B76C9" w14:textId="77777777" w:rsidR="00E00B28" w:rsidRPr="00E00B28" w:rsidRDefault="00E00B28" w:rsidP="00E00B28">
                        <w:pPr>
                          <w:pStyle w:val="SDMTableBoxParaNotNumbered"/>
                          <w:rPr>
                            <w:lang w:val="en-US"/>
                          </w:rPr>
                        </w:pPr>
                        <w:r w:rsidRPr="00E00B28">
                          <w:rPr>
                            <w:lang w:val="en-US"/>
                          </w:rPr>
                          <w:t xml:space="preserve"> Wusi </w:t>
                        </w:r>
                      </w:p>
                    </w:tc>
                    <w:tc>
                      <w:tcPr>
                        <w:tcW w:w="1480" w:type="dxa"/>
                        <w:tcBorders>
                          <w:top w:val="single" w:sz="4" w:space="0" w:color="auto"/>
                          <w:left w:val="single" w:sz="4" w:space="0" w:color="auto"/>
                          <w:bottom w:val="single" w:sz="4" w:space="0" w:color="auto"/>
                          <w:right w:val="single" w:sz="4" w:space="0" w:color="auto"/>
                        </w:tcBorders>
                        <w:hideMark/>
                      </w:tcPr>
                      <w:p w14:paraId="43A8BCC9" w14:textId="77777777" w:rsidR="00E00B28" w:rsidRPr="00E00B28" w:rsidRDefault="00E00B28" w:rsidP="00E00B28">
                        <w:pPr>
                          <w:pStyle w:val="SDMTableBoxParaNotNumbered"/>
                          <w:rPr>
                            <w:lang w:val="en-US"/>
                          </w:rPr>
                        </w:pPr>
                        <w:r w:rsidRPr="00E00B28">
                          <w:rPr>
                            <w:lang w:val="en-US"/>
                          </w:rPr>
                          <w:t xml:space="preserve"> JZZ.2-A1 </w:t>
                        </w:r>
                      </w:p>
                    </w:tc>
                    <w:tc>
                      <w:tcPr>
                        <w:tcW w:w="1480" w:type="dxa"/>
                        <w:tcBorders>
                          <w:top w:val="single" w:sz="4" w:space="0" w:color="auto"/>
                          <w:left w:val="single" w:sz="4" w:space="0" w:color="auto"/>
                          <w:bottom w:val="single" w:sz="4" w:space="0" w:color="auto"/>
                          <w:right w:val="single" w:sz="4" w:space="0" w:color="auto"/>
                        </w:tcBorders>
                        <w:hideMark/>
                      </w:tcPr>
                      <w:p w14:paraId="3B5F349A" w14:textId="77777777" w:rsidR="00E00B28" w:rsidRPr="00E00B28" w:rsidRDefault="00E00B28" w:rsidP="00E00B28">
                        <w:pPr>
                          <w:pStyle w:val="SDMTableBoxParaNotNumbered"/>
                          <w:rPr>
                            <w:lang w:val="en-US"/>
                          </w:rPr>
                        </w:pPr>
                        <w:r w:rsidRPr="00E00B28">
                          <w:rPr>
                            <w:lang w:val="en-US"/>
                          </w:rPr>
                          <w:t xml:space="preserve"> 2 </w:t>
                        </w:r>
                      </w:p>
                    </w:tc>
                    <w:tc>
                      <w:tcPr>
                        <w:tcW w:w="1480" w:type="dxa"/>
                        <w:tcBorders>
                          <w:top w:val="single" w:sz="4" w:space="0" w:color="auto"/>
                          <w:left w:val="single" w:sz="4" w:space="0" w:color="auto"/>
                          <w:bottom w:val="single" w:sz="4" w:space="0" w:color="auto"/>
                          <w:right w:val="single" w:sz="4" w:space="0" w:color="auto"/>
                        </w:tcBorders>
                        <w:hideMark/>
                      </w:tcPr>
                      <w:p w14:paraId="4E71B9A8" w14:textId="77777777" w:rsidR="00E00B28" w:rsidRPr="00E00B28" w:rsidRDefault="00E00B28" w:rsidP="00E00B28">
                        <w:pPr>
                          <w:pStyle w:val="SDMTableBoxParaNotNumbered"/>
                          <w:rPr>
                            <w:lang w:val="en-US"/>
                          </w:rPr>
                        </w:pPr>
                        <w:r w:rsidRPr="00E00B28">
                          <w:rPr>
                            <w:lang w:val="en-US"/>
                          </w:rPr>
                          <w:t xml:space="preserve"> 56.8%</w:t>
                        </w:r>
                      </w:p>
                    </w:tc>
                    <w:tc>
                      <w:tcPr>
                        <w:tcW w:w="30" w:type="dxa"/>
                        <w:tcBorders>
                          <w:top w:val="single" w:sz="4" w:space="0" w:color="auto"/>
                          <w:left w:val="single" w:sz="4" w:space="0" w:color="auto"/>
                          <w:bottom w:val="single" w:sz="4" w:space="0" w:color="auto"/>
                          <w:right w:val="single" w:sz="4" w:space="0" w:color="auto"/>
                        </w:tcBorders>
                        <w:hideMark/>
                      </w:tcPr>
                      <w:p w14:paraId="7BEC4755" w14:textId="77777777" w:rsidR="00E00B28" w:rsidRPr="00E00B28" w:rsidRDefault="00E00B28" w:rsidP="00E00B28">
                        <w:pPr>
                          <w:pStyle w:val="SDMTableBoxParaNotNumbered"/>
                        </w:pPr>
                        <w:r w:rsidRPr="00E00B28">
                          <w:t xml:space="preserve"> </w:t>
                        </w:r>
                      </w:p>
                    </w:tc>
                  </w:tr>
                  <w:tr w:rsidR="00E00B28" w:rsidRPr="00E00B28" w14:paraId="3CA8243F" w14:textId="77777777" w:rsidTr="008341EA">
                    <w:trPr>
                      <w:trHeight w:val="122"/>
                    </w:trPr>
                    <w:tc>
                      <w:tcPr>
                        <w:tcW w:w="1480" w:type="dxa"/>
                        <w:tcBorders>
                          <w:top w:val="single" w:sz="4" w:space="0" w:color="auto"/>
                          <w:left w:val="single" w:sz="4" w:space="0" w:color="auto"/>
                          <w:bottom w:val="single" w:sz="4" w:space="0" w:color="auto"/>
                          <w:right w:val="single" w:sz="4" w:space="0" w:color="auto"/>
                        </w:tcBorders>
                        <w:hideMark/>
                      </w:tcPr>
                      <w:p w14:paraId="78F97B4F" w14:textId="77777777" w:rsidR="00E00B28" w:rsidRPr="00E00B28" w:rsidRDefault="00E00B28" w:rsidP="00E00B28">
                        <w:pPr>
                          <w:pStyle w:val="SDMTableBoxParaNotNumbered"/>
                          <w:rPr>
                            <w:lang w:val="en-US"/>
                          </w:rPr>
                        </w:pPr>
                        <w:r w:rsidRPr="00E00B28">
                          <w:rPr>
                            <w:lang w:val="en-US"/>
                          </w:rPr>
                          <w:t xml:space="preserve"> Xunda </w:t>
                        </w:r>
                      </w:p>
                    </w:tc>
                    <w:tc>
                      <w:tcPr>
                        <w:tcW w:w="1480" w:type="dxa"/>
                        <w:tcBorders>
                          <w:top w:val="single" w:sz="4" w:space="0" w:color="auto"/>
                          <w:left w:val="single" w:sz="4" w:space="0" w:color="auto"/>
                          <w:bottom w:val="single" w:sz="4" w:space="0" w:color="auto"/>
                          <w:right w:val="single" w:sz="4" w:space="0" w:color="auto"/>
                        </w:tcBorders>
                        <w:hideMark/>
                      </w:tcPr>
                      <w:p w14:paraId="15FC6DDA" w14:textId="77777777" w:rsidR="00E00B28" w:rsidRPr="00E00B28" w:rsidRDefault="00E00B28" w:rsidP="00E00B28">
                        <w:pPr>
                          <w:pStyle w:val="SDMTableBoxParaNotNumbered"/>
                          <w:rPr>
                            <w:lang w:val="en-US"/>
                          </w:rPr>
                        </w:pPr>
                        <w:r w:rsidRPr="00E00B28">
                          <w:rPr>
                            <w:lang w:val="en-US"/>
                          </w:rPr>
                          <w:t xml:space="preserve"> JZZ2-88 </w:t>
                        </w:r>
                      </w:p>
                    </w:tc>
                    <w:tc>
                      <w:tcPr>
                        <w:tcW w:w="1480" w:type="dxa"/>
                        <w:tcBorders>
                          <w:top w:val="single" w:sz="4" w:space="0" w:color="auto"/>
                          <w:left w:val="single" w:sz="4" w:space="0" w:color="auto"/>
                          <w:bottom w:val="single" w:sz="4" w:space="0" w:color="auto"/>
                          <w:right w:val="single" w:sz="4" w:space="0" w:color="auto"/>
                        </w:tcBorders>
                        <w:hideMark/>
                      </w:tcPr>
                      <w:p w14:paraId="100F0A42" w14:textId="77777777" w:rsidR="00E00B28" w:rsidRPr="00E00B28" w:rsidRDefault="00E00B28" w:rsidP="00E00B28">
                        <w:pPr>
                          <w:pStyle w:val="SDMTableBoxParaNotNumbered"/>
                          <w:rPr>
                            <w:lang w:val="en-US"/>
                          </w:rPr>
                        </w:pPr>
                        <w:r w:rsidRPr="00E00B28">
                          <w:rPr>
                            <w:lang w:val="en-US"/>
                          </w:rPr>
                          <w:t xml:space="preserve"> 2 </w:t>
                        </w:r>
                      </w:p>
                    </w:tc>
                    <w:tc>
                      <w:tcPr>
                        <w:tcW w:w="1480" w:type="dxa"/>
                        <w:tcBorders>
                          <w:top w:val="single" w:sz="4" w:space="0" w:color="auto"/>
                          <w:left w:val="single" w:sz="4" w:space="0" w:color="auto"/>
                          <w:bottom w:val="single" w:sz="4" w:space="0" w:color="auto"/>
                          <w:right w:val="single" w:sz="4" w:space="0" w:color="auto"/>
                        </w:tcBorders>
                        <w:hideMark/>
                      </w:tcPr>
                      <w:p w14:paraId="2C093316" w14:textId="77777777" w:rsidR="00E00B28" w:rsidRPr="00E00B28" w:rsidRDefault="00E00B28" w:rsidP="00E00B28">
                        <w:pPr>
                          <w:pStyle w:val="SDMTableBoxParaNotNumbered"/>
                          <w:rPr>
                            <w:lang w:val="en-US"/>
                          </w:rPr>
                        </w:pPr>
                        <w:r w:rsidRPr="00E00B28">
                          <w:rPr>
                            <w:lang w:val="en-US"/>
                          </w:rPr>
                          <w:t xml:space="preserve"> &gt;58%</w:t>
                        </w:r>
                      </w:p>
                    </w:tc>
                    <w:tc>
                      <w:tcPr>
                        <w:tcW w:w="30" w:type="dxa"/>
                        <w:tcBorders>
                          <w:top w:val="single" w:sz="4" w:space="0" w:color="auto"/>
                          <w:left w:val="single" w:sz="4" w:space="0" w:color="auto"/>
                          <w:bottom w:val="single" w:sz="4" w:space="0" w:color="auto"/>
                          <w:right w:val="single" w:sz="4" w:space="0" w:color="auto"/>
                        </w:tcBorders>
                        <w:hideMark/>
                      </w:tcPr>
                      <w:p w14:paraId="77F993CD" w14:textId="77777777" w:rsidR="00E00B28" w:rsidRPr="00E00B28" w:rsidRDefault="00E00B28" w:rsidP="00E00B28">
                        <w:pPr>
                          <w:pStyle w:val="SDMTableBoxParaNotNumbered"/>
                        </w:pPr>
                        <w:r w:rsidRPr="00E00B28">
                          <w:t xml:space="preserve"> </w:t>
                        </w:r>
                      </w:p>
                    </w:tc>
                  </w:tr>
                  <w:tr w:rsidR="00E00B28" w:rsidRPr="00E00B28" w14:paraId="56CD7990" w14:textId="77777777" w:rsidTr="008341EA">
                    <w:trPr>
                      <w:trHeight w:val="122"/>
                    </w:trPr>
                    <w:tc>
                      <w:tcPr>
                        <w:tcW w:w="1480" w:type="dxa"/>
                        <w:tcBorders>
                          <w:top w:val="single" w:sz="4" w:space="0" w:color="auto"/>
                          <w:left w:val="single" w:sz="4" w:space="0" w:color="auto"/>
                          <w:bottom w:val="single" w:sz="4" w:space="0" w:color="auto"/>
                          <w:right w:val="single" w:sz="4" w:space="0" w:color="auto"/>
                        </w:tcBorders>
                        <w:hideMark/>
                      </w:tcPr>
                      <w:p w14:paraId="198359A2" w14:textId="77777777" w:rsidR="00E00B28" w:rsidRPr="00E00B28" w:rsidRDefault="00E00B28" w:rsidP="00E00B28">
                        <w:pPr>
                          <w:pStyle w:val="SDMTableBoxParaNotNumbered"/>
                          <w:rPr>
                            <w:lang w:val="en-US"/>
                          </w:rPr>
                        </w:pPr>
                        <w:r w:rsidRPr="00E00B28">
                          <w:rPr>
                            <w:lang w:val="en-US"/>
                          </w:rPr>
                          <w:t xml:space="preserve"> Xunda </w:t>
                        </w:r>
                      </w:p>
                    </w:tc>
                    <w:tc>
                      <w:tcPr>
                        <w:tcW w:w="1480" w:type="dxa"/>
                        <w:tcBorders>
                          <w:top w:val="single" w:sz="4" w:space="0" w:color="auto"/>
                          <w:left w:val="single" w:sz="4" w:space="0" w:color="auto"/>
                          <w:bottom w:val="single" w:sz="4" w:space="0" w:color="auto"/>
                          <w:right w:val="single" w:sz="4" w:space="0" w:color="auto"/>
                        </w:tcBorders>
                        <w:hideMark/>
                      </w:tcPr>
                      <w:p w14:paraId="5F126009" w14:textId="77777777" w:rsidR="00E00B28" w:rsidRPr="00E00B28" w:rsidRDefault="00E00B28" w:rsidP="00E00B28">
                        <w:pPr>
                          <w:pStyle w:val="SDMTableBoxParaNotNumbered"/>
                          <w:rPr>
                            <w:lang w:val="en-US"/>
                          </w:rPr>
                        </w:pPr>
                        <w:r w:rsidRPr="00E00B28">
                          <w:rPr>
                            <w:lang w:val="en-US"/>
                          </w:rPr>
                          <w:t xml:space="preserve"> JZZ1-6128 </w:t>
                        </w:r>
                      </w:p>
                    </w:tc>
                    <w:tc>
                      <w:tcPr>
                        <w:tcW w:w="1480" w:type="dxa"/>
                        <w:tcBorders>
                          <w:top w:val="single" w:sz="4" w:space="0" w:color="auto"/>
                          <w:left w:val="single" w:sz="4" w:space="0" w:color="auto"/>
                          <w:bottom w:val="single" w:sz="4" w:space="0" w:color="auto"/>
                          <w:right w:val="single" w:sz="4" w:space="0" w:color="auto"/>
                        </w:tcBorders>
                        <w:hideMark/>
                      </w:tcPr>
                      <w:p w14:paraId="5EFB1E59" w14:textId="77777777" w:rsidR="00E00B28" w:rsidRPr="00E00B28" w:rsidRDefault="00E00B28" w:rsidP="00E00B28">
                        <w:pPr>
                          <w:pStyle w:val="SDMTableBoxParaNotNumbered"/>
                          <w:rPr>
                            <w:lang w:val="en-US"/>
                          </w:rPr>
                        </w:pPr>
                        <w:r w:rsidRPr="00E00B28">
                          <w:rPr>
                            <w:lang w:val="en-US"/>
                          </w:rPr>
                          <w:t xml:space="preserve"> 1 </w:t>
                        </w:r>
                      </w:p>
                    </w:tc>
                    <w:tc>
                      <w:tcPr>
                        <w:tcW w:w="1480" w:type="dxa"/>
                        <w:tcBorders>
                          <w:top w:val="single" w:sz="4" w:space="0" w:color="auto"/>
                          <w:left w:val="single" w:sz="4" w:space="0" w:color="auto"/>
                          <w:bottom w:val="single" w:sz="4" w:space="0" w:color="auto"/>
                          <w:right w:val="single" w:sz="4" w:space="0" w:color="auto"/>
                        </w:tcBorders>
                        <w:hideMark/>
                      </w:tcPr>
                      <w:p w14:paraId="62C81771" w14:textId="77777777" w:rsidR="00E00B28" w:rsidRPr="00E00B28" w:rsidRDefault="00E00B28" w:rsidP="00E00B28">
                        <w:pPr>
                          <w:pStyle w:val="SDMTableBoxParaNotNumbered"/>
                          <w:rPr>
                            <w:lang w:val="en-US"/>
                          </w:rPr>
                        </w:pPr>
                        <w:r w:rsidRPr="00E00B28">
                          <w:rPr>
                            <w:lang w:val="en-US"/>
                          </w:rPr>
                          <w:t xml:space="preserve"> &gt;58%</w:t>
                        </w:r>
                      </w:p>
                    </w:tc>
                    <w:tc>
                      <w:tcPr>
                        <w:tcW w:w="30" w:type="dxa"/>
                        <w:tcBorders>
                          <w:top w:val="single" w:sz="4" w:space="0" w:color="auto"/>
                          <w:left w:val="single" w:sz="4" w:space="0" w:color="auto"/>
                          <w:bottom w:val="single" w:sz="4" w:space="0" w:color="auto"/>
                          <w:right w:val="single" w:sz="4" w:space="0" w:color="auto"/>
                        </w:tcBorders>
                        <w:hideMark/>
                      </w:tcPr>
                      <w:p w14:paraId="31384575" w14:textId="77777777" w:rsidR="00E00B28" w:rsidRPr="00E00B28" w:rsidRDefault="00E00B28" w:rsidP="00E00B28">
                        <w:pPr>
                          <w:pStyle w:val="SDMTableBoxParaNotNumbered"/>
                        </w:pPr>
                        <w:r w:rsidRPr="00E00B28">
                          <w:t xml:space="preserve"> </w:t>
                        </w:r>
                      </w:p>
                    </w:tc>
                  </w:tr>
                  <w:tr w:rsidR="00E00B28" w:rsidRPr="00E00B28" w14:paraId="080D18AA" w14:textId="77777777" w:rsidTr="008341EA">
                    <w:trPr>
                      <w:trHeight w:val="252"/>
                    </w:trPr>
                    <w:tc>
                      <w:tcPr>
                        <w:tcW w:w="1480" w:type="dxa"/>
                        <w:tcBorders>
                          <w:top w:val="single" w:sz="4" w:space="0" w:color="auto"/>
                          <w:left w:val="single" w:sz="4" w:space="0" w:color="auto"/>
                          <w:bottom w:val="single" w:sz="4" w:space="0" w:color="auto"/>
                          <w:right w:val="single" w:sz="4" w:space="0" w:color="auto"/>
                        </w:tcBorders>
                        <w:hideMark/>
                      </w:tcPr>
                      <w:p w14:paraId="23BD5DE9" w14:textId="77777777" w:rsidR="00E00B28" w:rsidRPr="00E00B28" w:rsidRDefault="00E00B28" w:rsidP="00E00B28">
                        <w:pPr>
                          <w:pStyle w:val="SDMTableBoxParaNotNumbered"/>
                          <w:rPr>
                            <w:lang w:val="en-US"/>
                          </w:rPr>
                        </w:pPr>
                        <w:r w:rsidRPr="00E00B28">
                          <w:rPr>
                            <w:lang w:val="en-US"/>
                          </w:rPr>
                          <w:t xml:space="preserve"> SNV </w:t>
                        </w:r>
                      </w:p>
                    </w:tc>
                    <w:tc>
                      <w:tcPr>
                        <w:tcW w:w="1480" w:type="dxa"/>
                        <w:tcBorders>
                          <w:top w:val="single" w:sz="4" w:space="0" w:color="auto"/>
                          <w:left w:val="single" w:sz="4" w:space="0" w:color="auto"/>
                          <w:bottom w:val="single" w:sz="4" w:space="0" w:color="auto"/>
                          <w:right w:val="single" w:sz="4" w:space="0" w:color="auto"/>
                        </w:tcBorders>
                        <w:hideMark/>
                      </w:tcPr>
                      <w:p w14:paraId="32C869E5" w14:textId="77777777" w:rsidR="00E00B28" w:rsidRPr="00E00B28" w:rsidRDefault="00E00B28" w:rsidP="00E00B28">
                        <w:pPr>
                          <w:pStyle w:val="SDMTableBoxParaNotNumbered"/>
                          <w:rPr>
                            <w:lang w:val="en-US"/>
                          </w:rPr>
                        </w:pPr>
                        <w:r w:rsidRPr="00E00B28">
                          <w:rPr>
                            <w:lang w:val="en-US"/>
                          </w:rPr>
                          <w:t xml:space="preserve"> Lotus III (Cambodia) </w:t>
                        </w:r>
                      </w:p>
                    </w:tc>
                    <w:tc>
                      <w:tcPr>
                        <w:tcW w:w="1480" w:type="dxa"/>
                        <w:tcBorders>
                          <w:top w:val="single" w:sz="4" w:space="0" w:color="auto"/>
                          <w:left w:val="single" w:sz="4" w:space="0" w:color="auto"/>
                          <w:bottom w:val="single" w:sz="4" w:space="0" w:color="auto"/>
                          <w:right w:val="single" w:sz="4" w:space="0" w:color="auto"/>
                        </w:tcBorders>
                        <w:hideMark/>
                      </w:tcPr>
                      <w:p w14:paraId="4D933D26" w14:textId="77777777" w:rsidR="00E00B28" w:rsidRPr="00E00B28" w:rsidRDefault="00E00B28" w:rsidP="00E00B28">
                        <w:pPr>
                          <w:pStyle w:val="SDMTableBoxParaNotNumbered"/>
                          <w:rPr>
                            <w:lang w:val="en-US"/>
                          </w:rPr>
                        </w:pPr>
                        <w:r w:rsidRPr="00E00B28">
                          <w:rPr>
                            <w:lang w:val="en-US"/>
                          </w:rPr>
                          <w:t xml:space="preserve"> 1 </w:t>
                        </w:r>
                      </w:p>
                    </w:tc>
                    <w:tc>
                      <w:tcPr>
                        <w:tcW w:w="1480" w:type="dxa"/>
                        <w:tcBorders>
                          <w:top w:val="single" w:sz="4" w:space="0" w:color="auto"/>
                          <w:left w:val="single" w:sz="4" w:space="0" w:color="auto"/>
                          <w:bottom w:val="single" w:sz="4" w:space="0" w:color="auto"/>
                          <w:right w:val="single" w:sz="4" w:space="0" w:color="auto"/>
                        </w:tcBorders>
                        <w:hideMark/>
                      </w:tcPr>
                      <w:p w14:paraId="249DB52C" w14:textId="77777777" w:rsidR="00E00B28" w:rsidRPr="00E00B28" w:rsidRDefault="00E00B28" w:rsidP="00E00B28">
                        <w:pPr>
                          <w:pStyle w:val="SDMTableBoxParaNotNumbered"/>
                          <w:rPr>
                            <w:lang w:val="en-US"/>
                          </w:rPr>
                        </w:pPr>
                        <w:r w:rsidRPr="00E00B28">
                          <w:rPr>
                            <w:lang w:val="en-US"/>
                          </w:rPr>
                          <w:t xml:space="preserve"> 55%</w:t>
                        </w:r>
                      </w:p>
                    </w:tc>
                    <w:tc>
                      <w:tcPr>
                        <w:tcW w:w="30" w:type="dxa"/>
                        <w:tcBorders>
                          <w:top w:val="single" w:sz="4" w:space="0" w:color="auto"/>
                          <w:left w:val="single" w:sz="4" w:space="0" w:color="auto"/>
                          <w:bottom w:val="single" w:sz="4" w:space="0" w:color="auto"/>
                          <w:right w:val="single" w:sz="4" w:space="0" w:color="auto"/>
                        </w:tcBorders>
                        <w:hideMark/>
                      </w:tcPr>
                      <w:p w14:paraId="513C0EB5" w14:textId="77777777" w:rsidR="00E00B28" w:rsidRPr="00E00B28" w:rsidRDefault="00E00B28" w:rsidP="00E00B28">
                        <w:pPr>
                          <w:pStyle w:val="SDMTableBoxParaNotNumbered"/>
                        </w:pPr>
                        <w:r w:rsidRPr="00E00B28">
                          <w:t xml:space="preserve"> </w:t>
                        </w:r>
                      </w:p>
                    </w:tc>
                  </w:tr>
                  <w:tr w:rsidR="008341EA" w:rsidRPr="00E00B28" w14:paraId="689CB4C3" w14:textId="77777777" w:rsidTr="008341EA">
                    <w:trPr>
                      <w:trHeight w:val="252"/>
                    </w:trPr>
                    <w:tc>
                      <w:tcPr>
                        <w:tcW w:w="1480" w:type="dxa"/>
                        <w:tcBorders>
                          <w:top w:val="single" w:sz="4" w:space="0" w:color="auto"/>
                          <w:left w:val="single" w:sz="4" w:space="0" w:color="auto"/>
                          <w:bottom w:val="single" w:sz="4" w:space="0" w:color="auto"/>
                          <w:right w:val="single" w:sz="4" w:space="0" w:color="auto"/>
                        </w:tcBorders>
                      </w:tcPr>
                      <w:p w14:paraId="4CD3853E" w14:textId="64AD1984" w:rsidR="008341EA" w:rsidRPr="00E00B28" w:rsidRDefault="008341EA" w:rsidP="00E00B28">
                        <w:pPr>
                          <w:pStyle w:val="SDMTableBoxParaNotNumbered"/>
                          <w:rPr>
                            <w:lang w:val="en-US"/>
                          </w:rPr>
                        </w:pPr>
                        <w:r w:rsidRPr="007200D9">
                          <w:rPr>
                            <w:lang w:val="en-US"/>
                          </w:rPr>
                          <w:t>Lanneng</w:t>
                        </w:r>
                      </w:p>
                    </w:tc>
                    <w:tc>
                      <w:tcPr>
                        <w:tcW w:w="1480" w:type="dxa"/>
                        <w:tcBorders>
                          <w:top w:val="single" w:sz="4" w:space="0" w:color="auto"/>
                          <w:left w:val="single" w:sz="4" w:space="0" w:color="auto"/>
                          <w:bottom w:val="single" w:sz="4" w:space="0" w:color="auto"/>
                          <w:right w:val="single" w:sz="4" w:space="0" w:color="auto"/>
                        </w:tcBorders>
                      </w:tcPr>
                      <w:p w14:paraId="69AB8AF1" w14:textId="551EBA49" w:rsidR="008341EA" w:rsidRPr="00E00B28" w:rsidRDefault="008341EA" w:rsidP="00E00B28">
                        <w:pPr>
                          <w:pStyle w:val="SDMTableBoxParaNotNumbered"/>
                          <w:rPr>
                            <w:lang w:val="en-US"/>
                          </w:rPr>
                        </w:pPr>
                        <w:r w:rsidRPr="007200D9">
                          <w:rPr>
                            <w:lang w:val="en-US"/>
                          </w:rPr>
                          <w:t>LJ-555</w:t>
                        </w:r>
                      </w:p>
                    </w:tc>
                    <w:tc>
                      <w:tcPr>
                        <w:tcW w:w="1480" w:type="dxa"/>
                        <w:tcBorders>
                          <w:top w:val="single" w:sz="4" w:space="0" w:color="auto"/>
                          <w:left w:val="single" w:sz="4" w:space="0" w:color="auto"/>
                          <w:bottom w:val="single" w:sz="4" w:space="0" w:color="auto"/>
                          <w:right w:val="single" w:sz="4" w:space="0" w:color="auto"/>
                        </w:tcBorders>
                      </w:tcPr>
                      <w:p w14:paraId="74FE1D35" w14:textId="16DD6833" w:rsidR="008341EA" w:rsidRPr="00E00B28" w:rsidRDefault="008341EA" w:rsidP="00E00B28">
                        <w:pPr>
                          <w:pStyle w:val="SDMTableBoxParaNotNumbered"/>
                          <w:rPr>
                            <w:lang w:val="en-US"/>
                          </w:rPr>
                        </w:pPr>
                        <w:r>
                          <w:rPr>
                            <w:lang w:val="en-US"/>
                          </w:rPr>
                          <w:t>1</w:t>
                        </w:r>
                      </w:p>
                    </w:tc>
                    <w:tc>
                      <w:tcPr>
                        <w:tcW w:w="1480" w:type="dxa"/>
                        <w:tcBorders>
                          <w:top w:val="single" w:sz="4" w:space="0" w:color="auto"/>
                          <w:left w:val="single" w:sz="4" w:space="0" w:color="auto"/>
                          <w:bottom w:val="single" w:sz="4" w:space="0" w:color="auto"/>
                          <w:right w:val="single" w:sz="4" w:space="0" w:color="auto"/>
                        </w:tcBorders>
                      </w:tcPr>
                      <w:p w14:paraId="53B37C67" w14:textId="48B36A72" w:rsidR="008341EA" w:rsidRPr="00E00B28" w:rsidRDefault="008341EA" w:rsidP="00E00B28">
                        <w:pPr>
                          <w:pStyle w:val="SDMTableBoxParaNotNumbered"/>
                          <w:rPr>
                            <w:lang w:val="en-US"/>
                          </w:rPr>
                        </w:pPr>
                        <w:r>
                          <w:rPr>
                            <w:lang w:val="en-US"/>
                          </w:rPr>
                          <w:t>&gt;60%</w:t>
                        </w:r>
                        <w:r>
                          <w:rPr>
                            <w:rStyle w:val="FootnoteReference"/>
                            <w:lang w:val="en-US"/>
                          </w:rPr>
                          <w:footnoteReference w:id="22"/>
                        </w:r>
                      </w:p>
                    </w:tc>
                    <w:tc>
                      <w:tcPr>
                        <w:tcW w:w="30" w:type="dxa"/>
                        <w:tcBorders>
                          <w:top w:val="single" w:sz="4" w:space="0" w:color="auto"/>
                          <w:left w:val="single" w:sz="4" w:space="0" w:color="auto"/>
                          <w:bottom w:val="single" w:sz="4" w:space="0" w:color="auto"/>
                          <w:right w:val="single" w:sz="4" w:space="0" w:color="auto"/>
                        </w:tcBorders>
                      </w:tcPr>
                      <w:p w14:paraId="27B868E4" w14:textId="77777777" w:rsidR="008341EA" w:rsidRPr="00E00B28" w:rsidRDefault="008341EA" w:rsidP="00E00B28">
                        <w:pPr>
                          <w:pStyle w:val="SDMTableBoxParaNotNumbered"/>
                        </w:pPr>
                      </w:p>
                    </w:tc>
                  </w:tr>
                  <w:tr w:rsidR="008341EA" w:rsidRPr="00E00B28" w14:paraId="30CA712C" w14:textId="77777777" w:rsidTr="008341EA">
                    <w:trPr>
                      <w:trHeight w:val="252"/>
                    </w:trPr>
                    <w:tc>
                      <w:tcPr>
                        <w:tcW w:w="1480" w:type="dxa"/>
                        <w:tcBorders>
                          <w:top w:val="single" w:sz="4" w:space="0" w:color="auto"/>
                          <w:left w:val="single" w:sz="4" w:space="0" w:color="auto"/>
                          <w:bottom w:val="single" w:sz="4" w:space="0" w:color="auto"/>
                          <w:right w:val="single" w:sz="4" w:space="0" w:color="auto"/>
                        </w:tcBorders>
                      </w:tcPr>
                      <w:p w14:paraId="036983AD" w14:textId="5FB8C69A" w:rsidR="008341EA" w:rsidRPr="00E00B28" w:rsidRDefault="008341EA" w:rsidP="008341EA">
                        <w:pPr>
                          <w:pStyle w:val="SDMTableBoxParaNotNumbered"/>
                          <w:rPr>
                            <w:lang w:val="en-US"/>
                          </w:rPr>
                        </w:pPr>
                        <w:r w:rsidRPr="007200D9">
                          <w:rPr>
                            <w:lang w:val="en-US"/>
                          </w:rPr>
                          <w:t>Lanneng</w:t>
                        </w:r>
                      </w:p>
                    </w:tc>
                    <w:tc>
                      <w:tcPr>
                        <w:tcW w:w="1480" w:type="dxa"/>
                        <w:tcBorders>
                          <w:top w:val="single" w:sz="4" w:space="0" w:color="auto"/>
                          <w:left w:val="single" w:sz="4" w:space="0" w:color="auto"/>
                          <w:bottom w:val="single" w:sz="4" w:space="0" w:color="auto"/>
                          <w:right w:val="single" w:sz="4" w:space="0" w:color="auto"/>
                        </w:tcBorders>
                      </w:tcPr>
                      <w:p w14:paraId="01ED41F8" w14:textId="2C242C66" w:rsidR="008341EA" w:rsidRPr="00E00B28" w:rsidRDefault="008341EA" w:rsidP="008341EA">
                        <w:pPr>
                          <w:pStyle w:val="SDMTableBoxParaNotNumbered"/>
                          <w:rPr>
                            <w:lang w:val="en-US"/>
                          </w:rPr>
                        </w:pPr>
                        <w:r>
                          <w:rPr>
                            <w:lang w:val="en-US"/>
                          </w:rPr>
                          <w:t>LN-MC666</w:t>
                        </w:r>
                      </w:p>
                    </w:tc>
                    <w:tc>
                      <w:tcPr>
                        <w:tcW w:w="1480" w:type="dxa"/>
                        <w:tcBorders>
                          <w:top w:val="single" w:sz="4" w:space="0" w:color="auto"/>
                          <w:left w:val="single" w:sz="4" w:space="0" w:color="auto"/>
                          <w:bottom w:val="single" w:sz="4" w:space="0" w:color="auto"/>
                          <w:right w:val="single" w:sz="4" w:space="0" w:color="auto"/>
                        </w:tcBorders>
                      </w:tcPr>
                      <w:p w14:paraId="06086A77" w14:textId="02C81D19" w:rsidR="008341EA" w:rsidRPr="00E00B28" w:rsidRDefault="008341EA" w:rsidP="008341EA">
                        <w:pPr>
                          <w:pStyle w:val="SDMTableBoxParaNotNumbered"/>
                          <w:rPr>
                            <w:lang w:val="en-US"/>
                          </w:rPr>
                        </w:pPr>
                        <w:r>
                          <w:rPr>
                            <w:lang w:val="en-US"/>
                          </w:rPr>
                          <w:t>2</w:t>
                        </w:r>
                      </w:p>
                    </w:tc>
                    <w:tc>
                      <w:tcPr>
                        <w:tcW w:w="1480" w:type="dxa"/>
                        <w:tcBorders>
                          <w:top w:val="single" w:sz="4" w:space="0" w:color="auto"/>
                          <w:left w:val="single" w:sz="4" w:space="0" w:color="auto"/>
                          <w:bottom w:val="single" w:sz="4" w:space="0" w:color="auto"/>
                          <w:right w:val="single" w:sz="4" w:space="0" w:color="auto"/>
                        </w:tcBorders>
                      </w:tcPr>
                      <w:p w14:paraId="0BE90086" w14:textId="469A06B6" w:rsidR="008341EA" w:rsidRPr="00E00B28" w:rsidRDefault="008341EA" w:rsidP="008341EA">
                        <w:pPr>
                          <w:pStyle w:val="SDMTableBoxParaNotNumbered"/>
                          <w:rPr>
                            <w:lang w:val="en-US"/>
                          </w:rPr>
                        </w:pPr>
                        <w:r>
                          <w:rPr>
                            <w:lang w:val="en-US"/>
                          </w:rPr>
                          <w:t>&gt;60%</w:t>
                        </w:r>
                        <w:r>
                          <w:rPr>
                            <w:rStyle w:val="FootnoteReference"/>
                            <w:lang w:val="en-US"/>
                          </w:rPr>
                          <w:footnoteReference w:id="23"/>
                        </w:r>
                      </w:p>
                    </w:tc>
                    <w:tc>
                      <w:tcPr>
                        <w:tcW w:w="30" w:type="dxa"/>
                        <w:tcBorders>
                          <w:top w:val="single" w:sz="4" w:space="0" w:color="auto"/>
                          <w:left w:val="single" w:sz="4" w:space="0" w:color="auto"/>
                          <w:bottom w:val="single" w:sz="4" w:space="0" w:color="auto"/>
                          <w:right w:val="single" w:sz="4" w:space="0" w:color="auto"/>
                        </w:tcBorders>
                      </w:tcPr>
                      <w:p w14:paraId="04C5BC03" w14:textId="77777777" w:rsidR="008341EA" w:rsidRPr="00E00B28" w:rsidRDefault="008341EA" w:rsidP="008341EA">
                        <w:pPr>
                          <w:pStyle w:val="SDMTableBoxParaNotNumbered"/>
                        </w:pPr>
                      </w:p>
                    </w:tc>
                  </w:tr>
                </w:tbl>
                <w:p w14:paraId="6D3D706B" w14:textId="77777777" w:rsidR="00E00B28" w:rsidRPr="00E00B28" w:rsidRDefault="00E00B28" w:rsidP="00E00B28">
                  <w:pPr>
                    <w:pStyle w:val="SDMTableBoxParaNotNumbered"/>
                  </w:pPr>
                  <w:bookmarkStart w:id="17" w:name="_GoBack"/>
                  <w:bookmarkEnd w:id="17"/>
                </w:p>
                <w:p w14:paraId="690EAD28" w14:textId="77777777" w:rsidR="00E00B28" w:rsidRPr="00E00B28" w:rsidRDefault="00E00B28" w:rsidP="00E00B28">
                  <w:pPr>
                    <w:pStyle w:val="SDMTableBoxParaNotNumbered"/>
                  </w:pPr>
                  <w:r w:rsidRPr="00E00B28">
                    <w:rPr>
                      <w:lang w:val="en-US"/>
                    </w:rPr>
                    <w:t>To be conservative the lowest value of efficiency has been taken.</w:t>
                  </w:r>
                </w:p>
              </w:tc>
            </w:tr>
          </w:tbl>
          <w:p w14:paraId="27781F2E" w14:textId="77777777" w:rsidR="0055468C" w:rsidRPr="00E00B28" w:rsidRDefault="0055468C" w:rsidP="0055468C">
            <w:pPr>
              <w:rPr>
                <w:sz w:val="20"/>
                <w:lang w:val="en-US"/>
              </w:rPr>
            </w:pPr>
          </w:p>
        </w:tc>
      </w:tr>
      <w:tr w:rsidR="0055468C" w:rsidRPr="000C7CA3" w14:paraId="4436D2F3" w14:textId="77777777" w:rsidTr="0055468C">
        <w:trPr>
          <w:cantSplit/>
          <w:jc w:val="center"/>
        </w:trPr>
        <w:tc>
          <w:tcPr>
            <w:tcW w:w="2696" w:type="dxa"/>
            <w:shd w:val="clear" w:color="auto" w:fill="D9D9D9"/>
            <w:tcMar>
              <w:top w:w="28" w:type="dxa"/>
              <w:left w:w="57" w:type="dxa"/>
              <w:bottom w:w="28" w:type="dxa"/>
              <w:right w:w="57" w:type="dxa"/>
            </w:tcMar>
            <w:vAlign w:val="center"/>
          </w:tcPr>
          <w:p w14:paraId="27D00848" w14:textId="77777777" w:rsidR="0055468C" w:rsidRPr="003936A5" w:rsidRDefault="0055468C" w:rsidP="0055468C">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72DA8540" w14:textId="77777777" w:rsidR="0055468C" w:rsidRPr="00E00B28" w:rsidRDefault="00E00B28" w:rsidP="0055468C">
            <w:pPr>
              <w:rPr>
                <w:sz w:val="20"/>
              </w:rPr>
            </w:pPr>
            <w:r w:rsidRPr="00E00B28">
              <w:rPr>
                <w:sz w:val="20"/>
              </w:rPr>
              <w:t>Calculation of project emissions</w:t>
            </w:r>
          </w:p>
        </w:tc>
      </w:tr>
      <w:tr w:rsidR="0055468C" w:rsidRPr="000C7CA3" w14:paraId="65E87BAB" w14:textId="77777777" w:rsidTr="0055468C">
        <w:trPr>
          <w:cantSplit/>
          <w:jc w:val="center"/>
        </w:trPr>
        <w:tc>
          <w:tcPr>
            <w:tcW w:w="2696" w:type="dxa"/>
            <w:shd w:val="clear" w:color="auto" w:fill="D9D9D9"/>
            <w:tcMar>
              <w:top w:w="28" w:type="dxa"/>
              <w:left w:w="57" w:type="dxa"/>
              <w:bottom w:w="28" w:type="dxa"/>
              <w:right w:w="57" w:type="dxa"/>
            </w:tcMar>
            <w:vAlign w:val="center"/>
          </w:tcPr>
          <w:p w14:paraId="064780EF" w14:textId="77777777" w:rsidR="0055468C" w:rsidRPr="003936A5" w:rsidRDefault="0055468C" w:rsidP="0055468C">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0029FD56" w14:textId="77777777" w:rsidR="0055468C" w:rsidRPr="00E00B28" w:rsidRDefault="00E00B28" w:rsidP="0055468C">
            <w:pPr>
              <w:rPr>
                <w:sz w:val="20"/>
              </w:rPr>
            </w:pPr>
            <w:r w:rsidRPr="00E00B28">
              <w:rPr>
                <w:sz w:val="20"/>
              </w:rPr>
              <w:t>N/A</w:t>
            </w:r>
          </w:p>
        </w:tc>
      </w:tr>
    </w:tbl>
    <w:p w14:paraId="22DD4E81" w14:textId="77777777" w:rsidR="0055468C" w:rsidRDefault="0055468C" w:rsidP="00F50697">
      <w:pPr>
        <w:pStyle w:val="SDMPDDPoASubSection1"/>
        <w:keepLines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E00B28" w:rsidRPr="000C7CA3" w14:paraId="40699900" w14:textId="77777777" w:rsidTr="003E0E9E">
        <w:trPr>
          <w:cantSplit/>
          <w:jc w:val="center"/>
        </w:trPr>
        <w:tc>
          <w:tcPr>
            <w:tcW w:w="2696" w:type="dxa"/>
            <w:shd w:val="clear" w:color="auto" w:fill="D9D9D9"/>
            <w:tcMar>
              <w:top w:w="28" w:type="dxa"/>
              <w:left w:w="57" w:type="dxa"/>
              <w:bottom w:w="28" w:type="dxa"/>
              <w:right w:w="57" w:type="dxa"/>
            </w:tcMar>
            <w:vAlign w:val="center"/>
          </w:tcPr>
          <w:p w14:paraId="1F1964A3" w14:textId="77777777" w:rsidR="00E00B28" w:rsidRPr="00A76316" w:rsidRDefault="00E00B28" w:rsidP="003E0E9E">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2C36766A" w14:textId="77777777" w:rsidR="00E00B28" w:rsidRPr="00E00B28" w:rsidRDefault="00E00B28" w:rsidP="003E0E9E">
            <w:pPr>
              <w:rPr>
                <w:sz w:val="20"/>
              </w:rPr>
            </w:pPr>
            <w:r w:rsidRPr="00E00B28">
              <w:rPr>
                <w:b/>
                <w:bCs/>
                <w:sz w:val="20"/>
              </w:rPr>
              <w:t>PL</w:t>
            </w:r>
          </w:p>
        </w:tc>
      </w:tr>
      <w:tr w:rsidR="00E00B28" w:rsidRPr="000C7CA3" w14:paraId="40D023B0" w14:textId="77777777" w:rsidTr="003E0E9E">
        <w:trPr>
          <w:cantSplit/>
          <w:jc w:val="center"/>
        </w:trPr>
        <w:tc>
          <w:tcPr>
            <w:tcW w:w="2696" w:type="dxa"/>
            <w:shd w:val="clear" w:color="auto" w:fill="D9D9D9"/>
            <w:tcMar>
              <w:top w:w="28" w:type="dxa"/>
              <w:left w:w="57" w:type="dxa"/>
              <w:bottom w:w="28" w:type="dxa"/>
              <w:right w:w="57" w:type="dxa"/>
            </w:tcMar>
            <w:vAlign w:val="center"/>
          </w:tcPr>
          <w:p w14:paraId="2E1F5C55" w14:textId="77777777" w:rsidR="00E00B28" w:rsidRPr="003936A5" w:rsidDel="00785F13" w:rsidRDefault="00E00B28" w:rsidP="003E0E9E">
            <w:pPr>
              <w:rPr>
                <w:sz w:val="20"/>
              </w:rPr>
            </w:pPr>
            <w:r>
              <w:rPr>
                <w:sz w:val="20"/>
              </w:rPr>
              <w:t>Data u</w:t>
            </w:r>
            <w:r w:rsidRPr="003936A5">
              <w:rPr>
                <w:sz w:val="20"/>
              </w:rPr>
              <w:t>nit</w:t>
            </w:r>
          </w:p>
        </w:tc>
        <w:tc>
          <w:tcPr>
            <w:tcW w:w="6933" w:type="dxa"/>
            <w:shd w:val="clear" w:color="auto" w:fill="auto"/>
            <w:tcMar>
              <w:top w:w="28" w:type="dxa"/>
              <w:left w:w="57" w:type="dxa"/>
              <w:bottom w:w="28" w:type="dxa"/>
              <w:right w:w="57" w:type="dxa"/>
            </w:tcMar>
            <w:vAlign w:val="center"/>
          </w:tcPr>
          <w:p w14:paraId="0425FFBA" w14:textId="77777777" w:rsidR="00E00B28" w:rsidRPr="00E00B28" w:rsidRDefault="00E00B28" w:rsidP="003E0E9E">
            <w:pPr>
              <w:rPr>
                <w:sz w:val="20"/>
              </w:rPr>
            </w:pPr>
            <w:r w:rsidRPr="00E00B28">
              <w:rPr>
                <w:bCs/>
                <w:sz w:val="20"/>
              </w:rPr>
              <w:t>%</w:t>
            </w:r>
          </w:p>
        </w:tc>
      </w:tr>
      <w:tr w:rsidR="00E00B28" w:rsidRPr="000C7CA3" w14:paraId="3852E828" w14:textId="77777777" w:rsidTr="003E0E9E">
        <w:trPr>
          <w:cantSplit/>
          <w:jc w:val="center"/>
        </w:trPr>
        <w:tc>
          <w:tcPr>
            <w:tcW w:w="2696" w:type="dxa"/>
            <w:shd w:val="clear" w:color="auto" w:fill="D9D9D9"/>
            <w:tcMar>
              <w:top w:w="28" w:type="dxa"/>
              <w:left w:w="57" w:type="dxa"/>
              <w:bottom w:w="28" w:type="dxa"/>
              <w:right w:w="57" w:type="dxa"/>
            </w:tcMar>
            <w:vAlign w:val="center"/>
          </w:tcPr>
          <w:p w14:paraId="0BF5FBB8" w14:textId="77777777" w:rsidR="00E00B28" w:rsidRPr="003936A5" w:rsidRDefault="00E00B28" w:rsidP="003E0E9E">
            <w:pPr>
              <w:rPr>
                <w:sz w:val="20"/>
              </w:rPr>
            </w:pPr>
            <w:r w:rsidRPr="003936A5">
              <w:rPr>
                <w:sz w:val="20"/>
              </w:rPr>
              <w:t>Description</w:t>
            </w:r>
          </w:p>
        </w:tc>
        <w:tc>
          <w:tcPr>
            <w:tcW w:w="6933" w:type="dxa"/>
            <w:shd w:val="clear" w:color="auto" w:fill="auto"/>
            <w:tcMar>
              <w:top w:w="28" w:type="dxa"/>
              <w:left w:w="57" w:type="dxa"/>
              <w:bottom w:w="28" w:type="dxa"/>
              <w:right w:w="57" w:type="dxa"/>
            </w:tcMar>
            <w:vAlign w:val="center"/>
          </w:tcPr>
          <w:p w14:paraId="76C68115" w14:textId="77777777" w:rsidR="00E00B28" w:rsidRPr="00E00B28" w:rsidRDefault="00E00B28" w:rsidP="003E0E9E">
            <w:pPr>
              <w:rPr>
                <w:sz w:val="20"/>
              </w:rPr>
            </w:pPr>
            <w:r w:rsidRPr="00E00B28">
              <w:rPr>
                <w:bCs/>
                <w:sz w:val="20"/>
                <w:lang w:val="en-US"/>
              </w:rPr>
              <w:t>Physical leakage of the biodigester</w:t>
            </w:r>
          </w:p>
        </w:tc>
      </w:tr>
      <w:tr w:rsidR="00E00B28" w:rsidRPr="000C7CA3" w14:paraId="73B89377" w14:textId="77777777" w:rsidTr="003E0E9E">
        <w:trPr>
          <w:cantSplit/>
          <w:jc w:val="center"/>
        </w:trPr>
        <w:tc>
          <w:tcPr>
            <w:tcW w:w="2696" w:type="dxa"/>
            <w:shd w:val="clear" w:color="auto" w:fill="D9D9D9"/>
            <w:tcMar>
              <w:top w:w="28" w:type="dxa"/>
              <w:left w:w="57" w:type="dxa"/>
              <w:bottom w:w="28" w:type="dxa"/>
              <w:right w:w="57" w:type="dxa"/>
            </w:tcMar>
            <w:vAlign w:val="center"/>
          </w:tcPr>
          <w:p w14:paraId="5FA1252A" w14:textId="77777777" w:rsidR="00E00B28" w:rsidRPr="003936A5" w:rsidRDefault="00E00B28" w:rsidP="003E0E9E">
            <w:pPr>
              <w:rPr>
                <w:sz w:val="20"/>
              </w:rPr>
            </w:pPr>
            <w:r w:rsidRPr="003936A5">
              <w:rPr>
                <w:sz w:val="20"/>
              </w:rPr>
              <w:t>Source of data</w:t>
            </w:r>
          </w:p>
        </w:tc>
        <w:tc>
          <w:tcPr>
            <w:tcW w:w="6933" w:type="dxa"/>
            <w:shd w:val="clear" w:color="auto" w:fill="auto"/>
            <w:tcMar>
              <w:top w:w="28" w:type="dxa"/>
              <w:left w:w="57" w:type="dxa"/>
              <w:bottom w:w="28" w:type="dxa"/>
              <w:right w:w="57" w:type="dxa"/>
            </w:tcMar>
            <w:vAlign w:val="center"/>
          </w:tcPr>
          <w:p w14:paraId="441BA5E8" w14:textId="77777777" w:rsidR="00E00B28" w:rsidRPr="00E00B28" w:rsidRDefault="00E00B28" w:rsidP="003E0E9E">
            <w:pPr>
              <w:rPr>
                <w:sz w:val="20"/>
              </w:rPr>
            </w:pPr>
            <w:r w:rsidRPr="00E00B28">
              <w:rPr>
                <w:bCs/>
                <w:sz w:val="20"/>
              </w:rPr>
              <w:t>IPCC</w:t>
            </w:r>
          </w:p>
        </w:tc>
      </w:tr>
      <w:tr w:rsidR="00E00B28" w:rsidRPr="000C7CA3" w14:paraId="726F6AF7" w14:textId="77777777" w:rsidTr="003E0E9E">
        <w:trPr>
          <w:cantSplit/>
          <w:jc w:val="center"/>
        </w:trPr>
        <w:tc>
          <w:tcPr>
            <w:tcW w:w="2696" w:type="dxa"/>
            <w:shd w:val="clear" w:color="auto" w:fill="D9D9D9"/>
            <w:tcMar>
              <w:top w:w="28" w:type="dxa"/>
              <w:left w:w="57" w:type="dxa"/>
              <w:bottom w:w="28" w:type="dxa"/>
              <w:right w:w="57" w:type="dxa"/>
            </w:tcMar>
            <w:vAlign w:val="center"/>
          </w:tcPr>
          <w:p w14:paraId="0AFE2270" w14:textId="77777777" w:rsidR="00E00B28" w:rsidRPr="003936A5" w:rsidRDefault="00E00B28" w:rsidP="003E0E9E">
            <w:pPr>
              <w:rPr>
                <w:sz w:val="20"/>
              </w:rPr>
            </w:pPr>
            <w:r w:rsidRPr="003936A5">
              <w:rPr>
                <w:sz w:val="20"/>
              </w:rPr>
              <w:t>Value(s) applied</w:t>
            </w:r>
          </w:p>
        </w:tc>
        <w:tc>
          <w:tcPr>
            <w:tcW w:w="6933" w:type="dxa"/>
            <w:shd w:val="clear" w:color="auto" w:fill="auto"/>
            <w:tcMar>
              <w:top w:w="28" w:type="dxa"/>
              <w:left w:w="57" w:type="dxa"/>
              <w:bottom w:w="28" w:type="dxa"/>
              <w:right w:w="57" w:type="dxa"/>
            </w:tcMar>
            <w:vAlign w:val="center"/>
          </w:tcPr>
          <w:p w14:paraId="527BCCDF" w14:textId="77777777" w:rsidR="00E00B28" w:rsidRPr="00E00B28" w:rsidRDefault="00E00B28" w:rsidP="003E0E9E">
            <w:pPr>
              <w:rPr>
                <w:sz w:val="20"/>
              </w:rPr>
            </w:pPr>
            <w:r w:rsidRPr="00E00B28">
              <w:rPr>
                <w:bCs/>
                <w:sz w:val="20"/>
              </w:rPr>
              <w:t>Estimated using a 10% default rate of total methane production</w:t>
            </w:r>
          </w:p>
        </w:tc>
      </w:tr>
      <w:tr w:rsidR="00E00B28" w:rsidRPr="000C7CA3" w14:paraId="5EF39B1A" w14:textId="77777777" w:rsidTr="003E0E9E">
        <w:trPr>
          <w:cantSplit/>
          <w:jc w:val="center"/>
        </w:trPr>
        <w:tc>
          <w:tcPr>
            <w:tcW w:w="2696" w:type="dxa"/>
            <w:shd w:val="clear" w:color="auto" w:fill="D9D9D9"/>
            <w:tcMar>
              <w:top w:w="28" w:type="dxa"/>
              <w:left w:w="57" w:type="dxa"/>
              <w:bottom w:w="28" w:type="dxa"/>
              <w:right w:w="57" w:type="dxa"/>
            </w:tcMar>
            <w:vAlign w:val="center"/>
          </w:tcPr>
          <w:p w14:paraId="37676B69" w14:textId="77777777" w:rsidR="00E00B28" w:rsidRPr="003936A5" w:rsidRDefault="00E00B28" w:rsidP="003E0E9E">
            <w:pPr>
              <w:jc w:val="left"/>
              <w:rPr>
                <w:sz w:val="20"/>
              </w:rPr>
            </w:pPr>
            <w:r w:rsidRPr="003936A5">
              <w:rPr>
                <w:sz w:val="20"/>
              </w:rPr>
              <w:t xml:space="preserve">Choice of data or measurement methods and procedures </w:t>
            </w:r>
          </w:p>
        </w:tc>
        <w:tc>
          <w:tcPr>
            <w:tcW w:w="6933" w:type="dxa"/>
            <w:shd w:val="clear" w:color="auto" w:fill="auto"/>
            <w:tcMar>
              <w:top w:w="28" w:type="dxa"/>
              <w:left w:w="57" w:type="dxa"/>
              <w:bottom w:w="28" w:type="dxa"/>
              <w:right w:w="57" w:type="dxa"/>
            </w:tcMar>
            <w:vAlign w:val="center"/>
          </w:tcPr>
          <w:p w14:paraId="1590615B" w14:textId="77777777" w:rsidR="00E00B28" w:rsidRPr="00E00B28" w:rsidRDefault="00E00B28" w:rsidP="003E0E9E">
            <w:pPr>
              <w:rPr>
                <w:sz w:val="20"/>
              </w:rPr>
            </w:pPr>
            <w:r w:rsidRPr="00E00B28">
              <w:rPr>
                <w:sz w:val="20"/>
              </w:rPr>
              <w:t>N/A</w:t>
            </w:r>
          </w:p>
        </w:tc>
      </w:tr>
      <w:tr w:rsidR="00E00B28" w:rsidRPr="000C7CA3" w14:paraId="4F38C9C1" w14:textId="77777777" w:rsidTr="003E0E9E">
        <w:trPr>
          <w:cantSplit/>
          <w:jc w:val="center"/>
        </w:trPr>
        <w:tc>
          <w:tcPr>
            <w:tcW w:w="2696" w:type="dxa"/>
            <w:shd w:val="clear" w:color="auto" w:fill="D9D9D9"/>
            <w:tcMar>
              <w:top w:w="28" w:type="dxa"/>
              <w:left w:w="57" w:type="dxa"/>
              <w:bottom w:w="28" w:type="dxa"/>
              <w:right w:w="57" w:type="dxa"/>
            </w:tcMar>
            <w:vAlign w:val="center"/>
          </w:tcPr>
          <w:p w14:paraId="42921361" w14:textId="77777777" w:rsidR="00E00B28" w:rsidRPr="003936A5" w:rsidRDefault="00E00B28" w:rsidP="003E0E9E">
            <w:pPr>
              <w:rPr>
                <w:sz w:val="20"/>
              </w:rPr>
            </w:pPr>
            <w:r w:rsidRPr="003936A5">
              <w:rPr>
                <w:sz w:val="20"/>
              </w:rPr>
              <w:t>Purpose of data</w:t>
            </w:r>
          </w:p>
        </w:tc>
        <w:tc>
          <w:tcPr>
            <w:tcW w:w="6933" w:type="dxa"/>
            <w:shd w:val="clear" w:color="auto" w:fill="auto"/>
            <w:tcMar>
              <w:top w:w="28" w:type="dxa"/>
              <w:left w:w="57" w:type="dxa"/>
              <w:bottom w:w="28" w:type="dxa"/>
              <w:right w:w="57" w:type="dxa"/>
            </w:tcMar>
            <w:vAlign w:val="center"/>
          </w:tcPr>
          <w:p w14:paraId="78FE4F65" w14:textId="77777777" w:rsidR="00E00B28" w:rsidRPr="00E00B28" w:rsidRDefault="00E00B28" w:rsidP="003E0E9E">
            <w:pPr>
              <w:rPr>
                <w:sz w:val="20"/>
              </w:rPr>
            </w:pPr>
            <w:r w:rsidRPr="00E00B28">
              <w:rPr>
                <w:sz w:val="20"/>
              </w:rPr>
              <w:t>Calculation of project emissions</w:t>
            </w:r>
          </w:p>
        </w:tc>
      </w:tr>
      <w:tr w:rsidR="00E00B28" w:rsidRPr="000C7CA3" w14:paraId="291EFA1E" w14:textId="77777777" w:rsidTr="00E00B28">
        <w:trPr>
          <w:cantSplit/>
          <w:trHeight w:val="42"/>
          <w:jc w:val="center"/>
        </w:trPr>
        <w:tc>
          <w:tcPr>
            <w:tcW w:w="2696" w:type="dxa"/>
            <w:shd w:val="clear" w:color="auto" w:fill="D9D9D9"/>
            <w:tcMar>
              <w:top w:w="28" w:type="dxa"/>
              <w:left w:w="57" w:type="dxa"/>
              <w:bottom w:w="28" w:type="dxa"/>
              <w:right w:w="57" w:type="dxa"/>
            </w:tcMar>
            <w:vAlign w:val="center"/>
          </w:tcPr>
          <w:p w14:paraId="50A0D8E3" w14:textId="77777777" w:rsidR="00E00B28" w:rsidRPr="003936A5" w:rsidRDefault="00E00B28" w:rsidP="003E0E9E">
            <w:pPr>
              <w:rPr>
                <w:sz w:val="20"/>
              </w:rPr>
            </w:pPr>
            <w:r w:rsidRPr="003936A5">
              <w:rPr>
                <w:sz w:val="20"/>
              </w:rPr>
              <w:t>Additional comment</w:t>
            </w:r>
          </w:p>
        </w:tc>
        <w:tc>
          <w:tcPr>
            <w:tcW w:w="6933" w:type="dxa"/>
            <w:shd w:val="clear" w:color="auto" w:fill="auto"/>
            <w:tcMar>
              <w:top w:w="28" w:type="dxa"/>
              <w:left w:w="57" w:type="dxa"/>
              <w:bottom w:w="28" w:type="dxa"/>
              <w:right w:w="57" w:type="dxa"/>
            </w:tcMar>
            <w:vAlign w:val="center"/>
          </w:tcPr>
          <w:p w14:paraId="45AD6C42" w14:textId="77777777" w:rsidR="00E00B28" w:rsidRPr="00E00B28" w:rsidRDefault="00E00B28" w:rsidP="003E0E9E">
            <w:pPr>
              <w:rPr>
                <w:sz w:val="20"/>
              </w:rPr>
            </w:pPr>
            <w:r w:rsidRPr="00E00B28">
              <w:rPr>
                <w:sz w:val="20"/>
              </w:rPr>
              <w:t>N/A</w:t>
            </w:r>
          </w:p>
        </w:tc>
      </w:tr>
    </w:tbl>
    <w:p w14:paraId="246E1815" w14:textId="77777777" w:rsidR="00E00B28" w:rsidRDefault="00E00B28" w:rsidP="00F50697">
      <w:pPr>
        <w:pStyle w:val="SDMPDDPoASubSection1"/>
        <w:keepLines w:val="0"/>
      </w:pPr>
    </w:p>
    <w:p w14:paraId="2E9EA689" w14:textId="77777777" w:rsidR="000978C2" w:rsidRPr="000C7CA3" w:rsidRDefault="000978C2" w:rsidP="001E0142">
      <w:pPr>
        <w:pStyle w:val="SDMPDDPoASubSection1"/>
        <w:keepLines w:val="0"/>
        <w:numPr>
          <w:ilvl w:val="2"/>
          <w:numId w:val="30"/>
        </w:numPr>
      </w:pPr>
      <w:r w:rsidRPr="000C7CA3">
        <w:t>Ex</w:t>
      </w:r>
      <w:r w:rsidR="008B2B04">
        <w:t xml:space="preserve"> </w:t>
      </w:r>
      <w:r w:rsidRPr="000C7CA3">
        <w:t>ante calculation of emission reductions</w:t>
      </w:r>
    </w:p>
    <w:p w14:paraId="1767A57F" w14:textId="77777777" w:rsidR="005E608C" w:rsidRPr="000C7CA3" w:rsidRDefault="005E608C" w:rsidP="00991A48">
      <w:pPr>
        <w:rPr>
          <w:rFonts w:cs="Arial"/>
          <w:lang w:eastAsia="en-US"/>
        </w:rPr>
      </w:pPr>
      <w:r w:rsidRPr="000C7CA3">
        <w:rPr>
          <w:rFonts w:cs="Arial"/>
          <w:lang w:eastAsia="en-US"/>
        </w:rPr>
        <w:t>&gt;&gt;</w:t>
      </w:r>
    </w:p>
    <w:p w14:paraId="7E44B6CD" w14:textId="77777777" w:rsidR="00745BD7" w:rsidRDefault="00745BD7" w:rsidP="00745BD7">
      <w:pPr>
        <w:rPr>
          <w:rFonts w:cs="Arial"/>
          <w:i/>
          <w:lang w:val="en-US"/>
        </w:rPr>
      </w:pPr>
      <w:r>
        <w:rPr>
          <w:rFonts w:cs="Arial"/>
          <w:i/>
          <w:lang w:val="en-US"/>
        </w:rPr>
        <w:t>6.</w:t>
      </w:r>
      <w:r w:rsidR="001F645D">
        <w:rPr>
          <w:rFonts w:cs="Arial"/>
          <w:i/>
          <w:lang w:val="en-US"/>
        </w:rPr>
        <w:t>4.3.</w:t>
      </w:r>
      <w:r>
        <w:rPr>
          <w:rFonts w:cs="Arial"/>
          <w:i/>
          <w:lang w:val="en-US"/>
        </w:rPr>
        <w:t xml:space="preserve">1 Emission reduction component 1: </w:t>
      </w:r>
      <w:r>
        <w:rPr>
          <w:rFonts w:cs="Arial"/>
          <w:i/>
        </w:rPr>
        <w:t>Accounting for emission reductions due to the displacement of fossil fuels and non-renewable biomass</w:t>
      </w:r>
    </w:p>
    <w:p w14:paraId="2D25C31F" w14:textId="77777777" w:rsidR="00745BD7" w:rsidRDefault="00745BD7" w:rsidP="00745BD7">
      <w:pPr>
        <w:rPr>
          <w:rFonts w:cs="Arial"/>
        </w:rPr>
      </w:pPr>
    </w:p>
    <w:p w14:paraId="1CBB3E6D" w14:textId="77777777" w:rsidR="00745BD7" w:rsidRDefault="00745BD7" w:rsidP="00745BD7">
      <w:pPr>
        <w:rPr>
          <w:rFonts w:cs="Arial"/>
        </w:rPr>
      </w:pPr>
      <w:r>
        <w:rPr>
          <w:rFonts w:cs="Arial"/>
        </w:rPr>
        <w:t xml:space="preserve">Emission reductions are credited by comparing fuel consumption in a project scenario to the three baseline scenarios of VPA006. As the baseline fuel and the project fuel and the corresponding emission factors are different, the overall GHG reductions achieved by VPA006 in year </w:t>
      </w:r>
      <w:r>
        <w:rPr>
          <w:rFonts w:cs="Arial"/>
          <w:i/>
        </w:rPr>
        <w:t>y</w:t>
      </w:r>
      <w:r>
        <w:rPr>
          <w:rFonts w:cs="Arial"/>
        </w:rPr>
        <w:t xml:space="preserve"> are calculated as follows:</w:t>
      </w:r>
    </w:p>
    <w:p w14:paraId="56569DFC" w14:textId="77777777" w:rsidR="00745BD7" w:rsidRDefault="00745BD7" w:rsidP="00745BD7">
      <w:pPr>
        <w:rPr>
          <w:rFonts w:cs="Arial"/>
        </w:rPr>
      </w:pPr>
      <w:r>
        <w:rPr>
          <w:rFonts w:cs="Arial"/>
        </w:rPr>
        <w:tab/>
      </w:r>
      <w:r>
        <w:rPr>
          <w:rFonts w:cs="Arial"/>
        </w:rPr>
        <w:tab/>
      </w:r>
    </w:p>
    <w:p w14:paraId="53F7A3D6" w14:textId="77777777" w:rsidR="00745BD7" w:rsidRDefault="00B964EE" w:rsidP="00745BD7">
      <w:pPr>
        <w:rPr>
          <w:rFonts w:cs="Arial"/>
          <w:b/>
        </w:rPr>
      </w:pPr>
      <m:oMath>
        <m:sSub>
          <m:sSubPr>
            <m:ctrlPr>
              <w:rPr>
                <w:rFonts w:ascii="Cambria Math" w:eastAsia="Calibri" w:hAnsi="Cambria Math"/>
                <w:b/>
                <w:lang w:val="de-DE"/>
              </w:rPr>
            </m:ctrlPr>
          </m:sSubPr>
          <m:e>
            <m:r>
              <m:rPr>
                <m:sty m:val="b"/>
              </m:rPr>
              <w:rPr>
                <w:rFonts w:ascii="Cambria Math" w:eastAsia="Calibri" w:hAnsi="Cambria Math"/>
                <w:lang w:val="de-DE"/>
              </w:rPr>
              <m:t>ER</m:t>
            </m:r>
          </m:e>
          <m:sub>
            <m:r>
              <m:rPr>
                <m:sty m:val="b"/>
              </m:rPr>
              <w:rPr>
                <w:rFonts w:ascii="Cambria Math" w:eastAsia="Calibri" w:hAnsi="Cambria Math"/>
                <w:lang w:val="de-DE"/>
              </w:rPr>
              <m:t>CO2</m:t>
            </m:r>
            <m:r>
              <m:rPr>
                <m:sty m:val="b"/>
              </m:rPr>
              <w:rPr>
                <w:rFonts w:ascii="Cambria Math" w:eastAsia="Calibri" w:hAnsi="Cambria Math"/>
              </w:rPr>
              <m:t>,</m:t>
            </m:r>
            <m:r>
              <m:rPr>
                <m:sty m:val="b"/>
              </m:rPr>
              <w:rPr>
                <w:rFonts w:ascii="Cambria Math" w:eastAsia="Calibri" w:hAnsi="Cambria Math"/>
                <w:lang w:val="de-DE"/>
              </w:rPr>
              <m:t>y</m:t>
            </m:r>
          </m:sub>
        </m:sSub>
        <m:r>
          <m:rPr>
            <m:sty m:val="bi"/>
          </m:rPr>
          <w:rPr>
            <w:rFonts w:ascii="Cambria Math" w:eastAsia="Calibri" w:hAnsi="Cambria Math"/>
          </w:rPr>
          <m:t>=</m:t>
        </m:r>
        <m:nary>
          <m:naryPr>
            <m:chr m:val="∑"/>
            <m:limLoc m:val="subSup"/>
            <m:supHide m:val="1"/>
            <m:ctrlPr>
              <w:rPr>
                <w:rFonts w:ascii="Cambria Math" w:eastAsia="Calibri" w:hAnsi="Cambria Math"/>
                <w:b/>
                <w:i/>
                <w:lang w:val="de-DE"/>
              </w:rPr>
            </m:ctrlPr>
          </m:naryPr>
          <m:sub>
            <m:r>
              <m:rPr>
                <m:sty m:val="p"/>
              </m:rPr>
              <w:rPr>
                <w:rFonts w:ascii="Cambria Math" w:eastAsia="Calibri" w:hAnsi="Cambria Math"/>
              </w:rPr>
              <m:t>b,p1</m:t>
            </m:r>
          </m:sub>
          <m:sup/>
          <m:e>
            <m:sSub>
              <m:sSubPr>
                <m:ctrlPr>
                  <w:rPr>
                    <w:rFonts w:ascii="Cambria Math" w:eastAsia="Calibri" w:hAnsi="Cambria Math"/>
                    <w:b/>
                    <w:i/>
                    <w:lang w:val="de-DE"/>
                  </w:rPr>
                </m:ctrlPr>
              </m:sSubPr>
              <m:e>
                <m:r>
                  <m:rPr>
                    <m:sty m:val="p"/>
                  </m:rPr>
                  <w:rPr>
                    <w:rFonts w:ascii="Cambria Math" w:eastAsia="Calibri" w:hAnsi="Cambria Math"/>
                  </w:rPr>
                  <m:t>N</m:t>
                </m:r>
              </m:e>
              <m:sub>
                <m:r>
                  <m:rPr>
                    <m:sty m:val="p"/>
                  </m:rPr>
                  <w:rPr>
                    <w:rFonts w:ascii="Cambria Math" w:eastAsia="Calibri" w:hAnsi="Cambria Math"/>
                  </w:rPr>
                  <m:t>p1,y</m:t>
                </m:r>
              </m:sub>
            </m:sSub>
          </m:e>
        </m:nary>
        <m:r>
          <m:rPr>
            <m:sty m:val="bi"/>
          </m:rPr>
          <w:rPr>
            <w:rFonts w:ascii="Cambria Math" w:eastAsia="Calibri" w:hAnsi="Cambria Math"/>
          </w:rPr>
          <m:t>*</m:t>
        </m:r>
        <m:sSub>
          <m:sSubPr>
            <m:ctrlPr>
              <w:rPr>
                <w:rFonts w:ascii="Cambria Math" w:eastAsia="Calibri" w:hAnsi="Cambria Math"/>
                <w:lang w:val="de-DE"/>
              </w:rPr>
            </m:ctrlPr>
          </m:sSubPr>
          <m:e>
            <m:r>
              <m:rPr>
                <m:sty m:val="p"/>
              </m:rPr>
              <w:rPr>
                <w:rFonts w:ascii="Cambria Math" w:eastAsia="Calibri" w:hAnsi="Cambria Math"/>
              </w:rPr>
              <m:t>U</m:t>
            </m:r>
          </m:e>
          <m:sub>
            <m:r>
              <m:rPr>
                <m:sty m:val="p"/>
              </m:rPr>
              <w:rPr>
                <w:rFonts w:ascii="Cambria Math" w:eastAsia="Calibri" w:hAnsi="Cambria Math"/>
              </w:rPr>
              <m:t>p1,y</m:t>
            </m:r>
          </m:sub>
        </m:sSub>
        <m:r>
          <m:rPr>
            <m:sty m:val="p"/>
          </m:rPr>
          <w:rPr>
            <w:rFonts w:ascii="Cambria Math" w:eastAsia="Calibri" w:hAnsi="Cambria Math"/>
          </w:rPr>
          <m:t>*</m:t>
        </m:r>
        <m:d>
          <m:dPr>
            <m:ctrlPr>
              <w:rPr>
                <w:rFonts w:ascii="Cambria Math" w:eastAsia="Calibri" w:hAnsi="Cambria Math"/>
                <w:lang w:val="de-DE"/>
              </w:rPr>
            </m:ctrlPr>
          </m:dPr>
          <m:e>
            <m:sSub>
              <m:sSubPr>
                <m:ctrlPr>
                  <w:rPr>
                    <w:rFonts w:ascii="Cambria Math" w:eastAsia="Calibri" w:hAnsi="Cambria Math"/>
                    <w:i/>
                    <w:lang w:val="de-DE"/>
                  </w:rPr>
                </m:ctrlPr>
              </m:sSubPr>
              <m:e>
                <m:r>
                  <w:rPr>
                    <w:rFonts w:ascii="Cambria Math" w:eastAsia="Calibri" w:hAnsi="Cambria Math"/>
                    <w:lang w:val="de-DE"/>
                  </w:rPr>
                  <m:t>f</m:t>
                </m:r>
              </m:e>
              <m:sub>
                <m:r>
                  <m:rPr>
                    <m:sty m:val="p"/>
                  </m:rPr>
                  <w:rPr>
                    <w:rFonts w:ascii="Cambria Math" w:eastAsia="Calibri" w:hAnsi="Cambria Math"/>
                  </w:rPr>
                  <m:t>NRB</m:t>
                </m:r>
              </m:sub>
            </m:sSub>
            <m:r>
              <w:rPr>
                <w:rFonts w:ascii="Cambria Math" w:eastAsia="Calibri" w:hAnsi="Cambria Math"/>
              </w:rPr>
              <m:t xml:space="preserve">* </m:t>
            </m:r>
            <m:sSub>
              <m:sSubPr>
                <m:ctrlPr>
                  <w:rPr>
                    <w:rFonts w:ascii="Cambria Math" w:eastAsia="Calibri" w:hAnsi="Cambria Math"/>
                    <w:lang w:val="de-DE"/>
                  </w:rPr>
                </m:ctrlPr>
              </m:sSubPr>
              <m:e>
                <m:r>
                  <m:rPr>
                    <m:sty m:val="p"/>
                  </m:rPr>
                  <w:rPr>
                    <w:rFonts w:ascii="Cambria Math" w:eastAsia="Calibri" w:hAnsi="Cambria Math"/>
                  </w:rPr>
                  <m:t>ER</m:t>
                </m:r>
              </m:e>
              <m:sub>
                <m:r>
                  <m:rPr>
                    <m:sty m:val="p"/>
                  </m:rPr>
                  <w:rPr>
                    <w:rFonts w:ascii="Cambria Math" w:eastAsia="Calibri" w:hAnsi="Cambria Math"/>
                  </w:rPr>
                  <m:t>b,p1,y, CO2</m:t>
                </m:r>
              </m:sub>
            </m:sSub>
            <m:r>
              <w:rPr>
                <w:rFonts w:ascii="Cambria Math" w:eastAsia="Calibri" w:hAnsi="Cambria Math"/>
              </w:rPr>
              <m:t>+</m:t>
            </m:r>
            <m:sSub>
              <m:sSubPr>
                <m:ctrlPr>
                  <w:rPr>
                    <w:rFonts w:ascii="Cambria Math" w:eastAsia="Calibri" w:hAnsi="Cambria Math"/>
                    <w:lang w:val="de-DE"/>
                  </w:rPr>
                </m:ctrlPr>
              </m:sSubPr>
              <m:e>
                <m:r>
                  <m:rPr>
                    <m:sty m:val="p"/>
                  </m:rPr>
                  <w:rPr>
                    <w:rFonts w:ascii="Cambria Math" w:eastAsia="Calibri" w:hAnsi="Cambria Math"/>
                  </w:rPr>
                  <m:t>ER</m:t>
                </m:r>
              </m:e>
              <m:sub>
                <m:r>
                  <m:rPr>
                    <m:sty m:val="p"/>
                  </m:rPr>
                  <w:rPr>
                    <w:rFonts w:ascii="Cambria Math" w:eastAsia="Calibri" w:hAnsi="Cambria Math"/>
                  </w:rPr>
                  <m:t>b,p1,y,non-CO2</m:t>
                </m:r>
              </m:sub>
            </m:sSub>
          </m:e>
        </m:d>
        <m:r>
          <w:rPr>
            <w:rFonts w:ascii="Cambria Math" w:eastAsia="Calibri" w:hAnsi="Cambria Math"/>
          </w:rPr>
          <m:t xml:space="preserve">- </m:t>
        </m:r>
        <m:nary>
          <m:naryPr>
            <m:chr m:val="∑"/>
            <m:limLoc m:val="undOvr"/>
            <m:subHide m:val="1"/>
            <m:supHide m:val="1"/>
            <m:ctrlPr>
              <w:rPr>
                <w:rFonts w:ascii="Cambria Math" w:eastAsia="Calibri" w:hAnsi="Cambria Math"/>
                <w:i/>
                <w:lang w:val="de-DE"/>
              </w:rPr>
            </m:ctrlPr>
          </m:naryPr>
          <m:sub/>
          <m:sup/>
          <m:e>
            <m:sSub>
              <m:sSubPr>
                <m:ctrlPr>
                  <w:rPr>
                    <w:rFonts w:ascii="Cambria Math" w:eastAsia="Calibri" w:hAnsi="Cambria Math"/>
                    <w:lang w:val="de-DE"/>
                  </w:rPr>
                </m:ctrlPr>
              </m:sSubPr>
              <m:e>
                <m:r>
                  <m:rPr>
                    <m:sty m:val="p"/>
                  </m:rPr>
                  <w:rPr>
                    <w:rFonts w:ascii="Cambria Math" w:eastAsia="Calibri" w:hAnsi="Cambria Math"/>
                  </w:rPr>
                  <m:t>LE</m:t>
                </m:r>
              </m:e>
              <m:sub>
                <m:r>
                  <m:rPr>
                    <m:sty m:val="p"/>
                  </m:rPr>
                  <w:rPr>
                    <w:rFonts w:ascii="Cambria Math" w:eastAsia="Calibri" w:hAnsi="Cambria Math"/>
                  </w:rPr>
                  <m:t>p1,y</m:t>
                </m:r>
              </m:sub>
            </m:sSub>
          </m:e>
        </m:nary>
      </m:oMath>
      <w:r w:rsidR="00745BD7">
        <w:rPr>
          <w:rFonts w:cs="Arial"/>
        </w:rPr>
        <w:t xml:space="preserve">                   </w:t>
      </w:r>
      <w:r w:rsidR="00745BD7">
        <w:rPr>
          <w:rFonts w:cs="Arial"/>
          <w:b/>
        </w:rPr>
        <w:t>(1)</w:t>
      </w:r>
    </w:p>
    <w:p w14:paraId="5E553A08" w14:textId="77777777" w:rsidR="00745BD7" w:rsidRDefault="00745BD7" w:rsidP="00745BD7">
      <w:pPr>
        <w:rPr>
          <w:rFonts w:cs="Arial"/>
        </w:rPr>
      </w:pPr>
    </w:p>
    <w:p w14:paraId="06A03753" w14:textId="77777777" w:rsidR="00745BD7" w:rsidRDefault="00745BD7" w:rsidP="00745BD7">
      <w:pPr>
        <w:rPr>
          <w:rFonts w:cs="Arial"/>
        </w:rPr>
      </w:pPr>
      <w:r>
        <w:rPr>
          <w:rFonts w:cs="Arial"/>
        </w:rPr>
        <w:t xml:space="preserve">Where: </w:t>
      </w:r>
    </w:p>
    <w:p w14:paraId="4B772CA4" w14:textId="77777777" w:rsidR="00745BD7" w:rsidRDefault="00745BD7" w:rsidP="00745BD7">
      <w:pPr>
        <w:rPr>
          <w:rFonts w:cs="Arial"/>
        </w:rPr>
      </w:pPr>
    </w:p>
    <w:p w14:paraId="35F85FFA" w14:textId="77777777" w:rsidR="00745BD7" w:rsidRDefault="00745BD7" w:rsidP="00745BD7">
      <w:pPr>
        <w:suppressAutoHyphens/>
        <w:ind w:left="1872" w:hanging="1248"/>
        <w:jc w:val="left"/>
        <w:rPr>
          <w:rFonts w:cs="Arial"/>
          <w:szCs w:val="22"/>
          <w:lang w:eastAsia="ar-SA"/>
        </w:rPr>
      </w:pPr>
      <w:r>
        <w:rPr>
          <w:rFonts w:cs="Arial"/>
          <w:szCs w:val="22"/>
          <w:lang w:eastAsia="ar-SA"/>
        </w:rPr>
        <w:t>ER</w:t>
      </w:r>
      <w:r>
        <w:rPr>
          <w:rFonts w:cs="Arial"/>
          <w:szCs w:val="22"/>
          <w:vertAlign w:val="subscript"/>
          <w:lang w:eastAsia="nl-NL"/>
        </w:rPr>
        <w:t>CO2</w:t>
      </w:r>
      <w:r>
        <w:rPr>
          <w:rFonts w:cs="Arial"/>
          <w:szCs w:val="22"/>
          <w:vertAlign w:val="subscript"/>
          <w:lang w:eastAsia="ar-SA"/>
        </w:rPr>
        <w:t>,y</w:t>
      </w:r>
      <w:r>
        <w:rPr>
          <w:rFonts w:cs="Arial"/>
          <w:szCs w:val="22"/>
          <w:lang w:eastAsia="ar-SA"/>
        </w:rPr>
        <w:tab/>
        <w:t xml:space="preserve">Cumulative </w:t>
      </w:r>
      <w:r>
        <w:rPr>
          <w:rFonts w:cs="Arial"/>
          <w:szCs w:val="22"/>
          <w:lang w:eastAsia="nl-NL"/>
        </w:rPr>
        <w:t>CO</w:t>
      </w:r>
      <w:r>
        <w:rPr>
          <w:rFonts w:cs="Arial"/>
          <w:szCs w:val="22"/>
          <w:vertAlign w:val="subscript"/>
          <w:lang w:eastAsia="nl-NL"/>
        </w:rPr>
        <w:t>2</w:t>
      </w:r>
      <w:r>
        <w:rPr>
          <w:rFonts w:cs="Arial"/>
          <w:szCs w:val="22"/>
          <w:lang w:eastAsia="ar-SA"/>
        </w:rPr>
        <w:t xml:space="preserve"> emission reductions from the substitution of non-renewable biomass and fossil fuels</w:t>
      </w:r>
    </w:p>
    <w:p w14:paraId="1486CFD7" w14:textId="77777777" w:rsidR="00745BD7" w:rsidRDefault="00745BD7" w:rsidP="00745BD7">
      <w:pPr>
        <w:suppressAutoHyphens/>
        <w:jc w:val="left"/>
        <w:rPr>
          <w:rFonts w:cs="Arial"/>
          <w:szCs w:val="22"/>
          <w:lang w:eastAsia="ar-SA"/>
        </w:rPr>
      </w:pPr>
    </w:p>
    <w:p w14:paraId="12E032AA" w14:textId="77777777" w:rsidR="00745BD7" w:rsidRDefault="00745BD7" w:rsidP="00745BD7">
      <w:pPr>
        <w:suppressAutoHyphens/>
        <w:ind w:left="1872" w:hanging="1248"/>
        <w:jc w:val="left"/>
        <w:rPr>
          <w:rFonts w:cs="Arial"/>
          <w:szCs w:val="22"/>
          <w:lang w:eastAsia="ar-SA"/>
        </w:rPr>
      </w:pPr>
      <w:r>
        <w:rPr>
          <w:rFonts w:cs="Arial"/>
          <w:szCs w:val="22"/>
          <w:lang w:eastAsia="ar-SA"/>
        </w:rPr>
        <w:t>∑</w:t>
      </w:r>
      <w:r>
        <w:rPr>
          <w:rFonts w:cs="Arial"/>
          <w:szCs w:val="22"/>
          <w:vertAlign w:val="subscript"/>
          <w:lang w:eastAsia="ar-SA"/>
        </w:rPr>
        <w:t>b,p1</w:t>
      </w:r>
      <w:r>
        <w:rPr>
          <w:rFonts w:cs="Arial"/>
          <w:szCs w:val="22"/>
          <w:lang w:eastAsia="ar-SA"/>
        </w:rPr>
        <w:tab/>
        <w:t>Sum over all relevant (baseline b1,b2,b3/project p1) couples</w:t>
      </w:r>
    </w:p>
    <w:p w14:paraId="3E046924" w14:textId="77777777" w:rsidR="00745BD7" w:rsidRDefault="00745BD7" w:rsidP="00745BD7">
      <w:pPr>
        <w:suppressAutoHyphens/>
        <w:ind w:left="1872" w:hanging="1248"/>
        <w:jc w:val="left"/>
        <w:rPr>
          <w:rFonts w:cs="Arial"/>
          <w:szCs w:val="22"/>
          <w:lang w:eastAsia="ar-SA"/>
        </w:rPr>
      </w:pPr>
    </w:p>
    <w:p w14:paraId="4A426B8F" w14:textId="77777777" w:rsidR="00745BD7" w:rsidRDefault="00745BD7" w:rsidP="00745BD7">
      <w:pPr>
        <w:suppressAutoHyphens/>
        <w:autoSpaceDE w:val="0"/>
        <w:autoSpaceDN w:val="0"/>
        <w:adjustRightInd w:val="0"/>
        <w:ind w:left="1872" w:hanging="1248"/>
        <w:jc w:val="left"/>
        <w:rPr>
          <w:rFonts w:cs="Arial"/>
          <w:sz w:val="16"/>
          <w:szCs w:val="22"/>
          <w:lang w:eastAsia="ar-SA"/>
        </w:rPr>
      </w:pPr>
      <w:r>
        <w:rPr>
          <w:rFonts w:cs="Arial"/>
          <w:szCs w:val="22"/>
          <w:lang w:eastAsia="ar-SA"/>
        </w:rPr>
        <w:t>N</w:t>
      </w:r>
      <w:r>
        <w:rPr>
          <w:rFonts w:cs="Arial"/>
          <w:szCs w:val="22"/>
          <w:vertAlign w:val="subscript"/>
          <w:lang w:eastAsia="ar-SA"/>
        </w:rPr>
        <w:t>p1,y</w:t>
      </w:r>
      <w:r>
        <w:rPr>
          <w:rFonts w:cs="Arial"/>
          <w:szCs w:val="22"/>
          <w:lang w:eastAsia="ar-SA"/>
        </w:rPr>
        <w:tab/>
        <w:t>Cumulative project operational rate included in the project database for project scenario p1 against baseline scenario b1 in year y</w:t>
      </w:r>
      <w:r>
        <w:rPr>
          <w:rFonts w:cs="Arial"/>
          <w:sz w:val="16"/>
          <w:szCs w:val="22"/>
          <w:lang w:eastAsia="ar-SA"/>
        </w:rPr>
        <w:t xml:space="preserve"> </w:t>
      </w:r>
    </w:p>
    <w:p w14:paraId="712532D9" w14:textId="77777777" w:rsidR="00745BD7" w:rsidRDefault="00745BD7" w:rsidP="00745BD7">
      <w:pPr>
        <w:suppressAutoHyphens/>
        <w:autoSpaceDE w:val="0"/>
        <w:autoSpaceDN w:val="0"/>
        <w:adjustRightInd w:val="0"/>
        <w:ind w:left="1872" w:hanging="1248"/>
        <w:jc w:val="left"/>
        <w:rPr>
          <w:rFonts w:cs="Arial"/>
          <w:szCs w:val="22"/>
          <w:lang w:eastAsia="ar-SA"/>
        </w:rPr>
      </w:pPr>
    </w:p>
    <w:p w14:paraId="3B1CB03C" w14:textId="77777777" w:rsidR="00745BD7" w:rsidRDefault="00745BD7" w:rsidP="00745BD7">
      <w:pPr>
        <w:suppressAutoHyphens/>
        <w:ind w:left="1872" w:hanging="1248"/>
        <w:jc w:val="left"/>
        <w:rPr>
          <w:rFonts w:cs="Arial"/>
          <w:szCs w:val="22"/>
          <w:lang w:eastAsia="ar-SA"/>
        </w:rPr>
      </w:pPr>
      <w:r>
        <w:rPr>
          <w:rFonts w:cs="Arial"/>
          <w:szCs w:val="22"/>
          <w:lang w:eastAsia="ar-SA"/>
        </w:rPr>
        <w:t>U</w:t>
      </w:r>
      <w:r>
        <w:rPr>
          <w:rFonts w:cs="Arial"/>
          <w:szCs w:val="22"/>
          <w:vertAlign w:val="subscript"/>
          <w:lang w:eastAsia="ar-SA"/>
        </w:rPr>
        <w:t xml:space="preserve">p1,y </w:t>
      </w:r>
      <w:r>
        <w:rPr>
          <w:rFonts w:cs="Arial"/>
          <w:szCs w:val="22"/>
          <w:lang w:eastAsia="ar-SA"/>
        </w:rPr>
        <w:tab/>
        <w:t>Cumulative usage rate for technologies in project scenario p1 in year y, based on cumulative adoption rate and drop off rate (fraction)</w:t>
      </w:r>
    </w:p>
    <w:p w14:paraId="56A1BBF2" w14:textId="77777777" w:rsidR="00745BD7" w:rsidRDefault="00745BD7" w:rsidP="00745BD7">
      <w:pPr>
        <w:suppressAutoHyphens/>
        <w:ind w:left="1890" w:hanging="1260"/>
        <w:jc w:val="left"/>
        <w:rPr>
          <w:rFonts w:cs="Arial"/>
          <w:szCs w:val="22"/>
          <w:lang w:eastAsia="ar-SA"/>
        </w:rPr>
      </w:pPr>
    </w:p>
    <w:p w14:paraId="15B41E10" w14:textId="77777777" w:rsidR="00745BD7" w:rsidRDefault="00745BD7" w:rsidP="00745BD7">
      <w:pPr>
        <w:suppressAutoHyphens/>
        <w:ind w:left="1872" w:hanging="1248"/>
        <w:jc w:val="left"/>
        <w:rPr>
          <w:rFonts w:cs="Arial"/>
          <w:i/>
          <w:szCs w:val="22"/>
          <w:lang w:eastAsia="ar-SA"/>
        </w:rPr>
      </w:pPr>
      <w:r>
        <w:rPr>
          <w:rFonts w:cs="Arial"/>
          <w:szCs w:val="22"/>
          <w:lang w:eastAsia="ar-SA"/>
        </w:rPr>
        <w:t>ER</w:t>
      </w:r>
      <w:r>
        <w:rPr>
          <w:rFonts w:cs="Arial"/>
          <w:szCs w:val="22"/>
          <w:vertAlign w:val="subscript"/>
          <w:lang w:eastAsia="ar-SA"/>
        </w:rPr>
        <w:t>b,p1,y,CO2</w:t>
      </w:r>
      <w:r>
        <w:rPr>
          <w:rFonts w:cs="Arial"/>
          <w:i/>
          <w:szCs w:val="22"/>
          <w:lang w:eastAsia="ar-SA"/>
        </w:rPr>
        <w:tab/>
      </w:r>
      <w:r>
        <w:rPr>
          <w:rFonts w:cs="Arial"/>
          <w:szCs w:val="22"/>
          <w:lang w:eastAsia="ar-SA"/>
        </w:rPr>
        <w:t>Specific CO</w:t>
      </w:r>
      <w:r>
        <w:rPr>
          <w:rFonts w:cs="Arial"/>
          <w:szCs w:val="22"/>
          <w:vertAlign w:val="subscript"/>
          <w:lang w:eastAsia="ar-SA"/>
        </w:rPr>
        <w:t>2</w:t>
      </w:r>
      <w:r>
        <w:rPr>
          <w:rFonts w:cs="Arial"/>
          <w:szCs w:val="22"/>
          <w:lang w:eastAsia="ar-SA"/>
        </w:rPr>
        <w:t xml:space="preserve"> emission savings for an individual technology of project p1 against an individual technology of baseline b1, b2, b3 in year y, in tCO</w:t>
      </w:r>
      <w:r>
        <w:rPr>
          <w:rFonts w:cs="Arial"/>
          <w:szCs w:val="22"/>
          <w:vertAlign w:val="subscript"/>
          <w:lang w:eastAsia="ar-SA"/>
        </w:rPr>
        <w:t>2</w:t>
      </w:r>
      <w:r>
        <w:rPr>
          <w:rFonts w:cs="Arial"/>
          <w:szCs w:val="22"/>
          <w:lang w:eastAsia="ar-SA"/>
        </w:rPr>
        <w:t>/year, and as derived from the statistical analysis of the data collected from the field tests</w:t>
      </w:r>
    </w:p>
    <w:p w14:paraId="39F21BE9" w14:textId="77777777" w:rsidR="00745BD7" w:rsidRDefault="00745BD7" w:rsidP="00745BD7">
      <w:pPr>
        <w:suppressAutoHyphens/>
        <w:ind w:left="1872" w:hanging="1248"/>
        <w:jc w:val="left"/>
        <w:rPr>
          <w:rFonts w:cs="Arial"/>
          <w:szCs w:val="22"/>
          <w:vertAlign w:val="subscript"/>
          <w:lang w:eastAsia="ar-SA"/>
        </w:rPr>
      </w:pPr>
    </w:p>
    <w:p w14:paraId="18259A28" w14:textId="77777777" w:rsidR="00745BD7" w:rsidRDefault="00745BD7" w:rsidP="00745BD7">
      <w:pPr>
        <w:suppressAutoHyphens/>
        <w:ind w:left="1872" w:hanging="1248"/>
        <w:jc w:val="left"/>
        <w:rPr>
          <w:rFonts w:cs="Arial"/>
          <w:i/>
          <w:szCs w:val="22"/>
          <w:lang w:eastAsia="ar-SA"/>
        </w:rPr>
      </w:pPr>
      <w:r>
        <w:rPr>
          <w:rFonts w:cs="Arial"/>
          <w:szCs w:val="22"/>
          <w:lang w:eastAsia="ar-SA"/>
        </w:rPr>
        <w:t>ER</w:t>
      </w:r>
      <w:r>
        <w:rPr>
          <w:rFonts w:cs="Arial"/>
          <w:szCs w:val="22"/>
          <w:vertAlign w:val="subscript"/>
          <w:lang w:eastAsia="ar-SA"/>
        </w:rPr>
        <w:t>b,p1,y,non-CO2</w:t>
      </w:r>
      <w:r>
        <w:rPr>
          <w:rFonts w:cs="Arial"/>
          <w:i/>
          <w:szCs w:val="22"/>
          <w:lang w:eastAsia="ar-SA"/>
        </w:rPr>
        <w:tab/>
      </w:r>
      <w:r>
        <w:rPr>
          <w:rFonts w:cs="Arial"/>
          <w:szCs w:val="22"/>
          <w:lang w:eastAsia="ar-SA"/>
        </w:rPr>
        <w:t>Specific non-CO</w:t>
      </w:r>
      <w:r>
        <w:rPr>
          <w:rFonts w:cs="Arial"/>
          <w:szCs w:val="22"/>
          <w:vertAlign w:val="subscript"/>
          <w:lang w:eastAsia="ar-SA"/>
        </w:rPr>
        <w:t>2</w:t>
      </w:r>
      <w:r>
        <w:rPr>
          <w:rFonts w:cs="Arial"/>
          <w:szCs w:val="22"/>
          <w:lang w:eastAsia="ar-SA"/>
        </w:rPr>
        <w:t xml:space="preserve"> emission savings for an individual technology of project p1 against an individual technology of baseline b1, b2, b3 in year y, converted in tCO</w:t>
      </w:r>
      <w:r>
        <w:rPr>
          <w:rFonts w:cs="Arial"/>
          <w:szCs w:val="22"/>
          <w:vertAlign w:val="subscript"/>
          <w:lang w:eastAsia="ar-SA"/>
        </w:rPr>
        <w:t>2</w:t>
      </w:r>
      <w:r>
        <w:rPr>
          <w:rFonts w:cs="Arial"/>
          <w:szCs w:val="22"/>
          <w:lang w:eastAsia="ar-SA"/>
        </w:rPr>
        <w:t>/year, and as derived from the statistical analysis of the data collected from the field tests</w:t>
      </w:r>
    </w:p>
    <w:p w14:paraId="7597A235" w14:textId="77777777" w:rsidR="00745BD7" w:rsidRDefault="00745BD7" w:rsidP="00745BD7">
      <w:pPr>
        <w:suppressAutoHyphens/>
        <w:ind w:left="1872" w:hanging="1248"/>
        <w:jc w:val="left"/>
        <w:rPr>
          <w:rFonts w:cs="Arial"/>
          <w:szCs w:val="22"/>
          <w:vertAlign w:val="subscript"/>
          <w:lang w:eastAsia="ar-SA"/>
        </w:rPr>
      </w:pPr>
    </w:p>
    <w:p w14:paraId="5536B580" w14:textId="77777777" w:rsidR="00745BD7" w:rsidRDefault="00745BD7" w:rsidP="00745BD7">
      <w:pPr>
        <w:suppressAutoHyphens/>
        <w:autoSpaceDE w:val="0"/>
        <w:autoSpaceDN w:val="0"/>
        <w:adjustRightInd w:val="0"/>
        <w:ind w:left="1872" w:hanging="1248"/>
        <w:jc w:val="left"/>
        <w:rPr>
          <w:rFonts w:cs="Arial"/>
          <w:szCs w:val="22"/>
          <w:lang w:eastAsia="ar-SA"/>
        </w:rPr>
      </w:pPr>
      <w:r>
        <w:rPr>
          <w:rFonts w:cs="Arial"/>
          <w:i/>
          <w:szCs w:val="22"/>
          <w:lang w:eastAsia="ar-SA"/>
        </w:rPr>
        <w:t>f</w:t>
      </w:r>
      <w:r>
        <w:rPr>
          <w:rFonts w:cs="Arial"/>
          <w:szCs w:val="22"/>
          <w:vertAlign w:val="subscript"/>
          <w:lang w:eastAsia="ar-SA"/>
        </w:rPr>
        <w:t>NRB</w:t>
      </w:r>
      <w:r>
        <w:rPr>
          <w:rFonts w:cs="Arial"/>
          <w:szCs w:val="22"/>
          <w:lang w:eastAsia="ar-SA"/>
        </w:rPr>
        <w:tab/>
        <w:t>Fraction of biomass used that can be established as non-renewable biomass</w:t>
      </w:r>
    </w:p>
    <w:p w14:paraId="2EDDDF38" w14:textId="77777777" w:rsidR="00745BD7" w:rsidRDefault="00745BD7" w:rsidP="00745BD7">
      <w:pPr>
        <w:suppressAutoHyphens/>
        <w:jc w:val="left"/>
        <w:rPr>
          <w:rFonts w:cs="Arial"/>
          <w:szCs w:val="22"/>
          <w:lang w:eastAsia="ar-SA"/>
        </w:rPr>
      </w:pPr>
    </w:p>
    <w:p w14:paraId="10C93A84" w14:textId="77777777" w:rsidR="00745BD7" w:rsidRDefault="00745BD7" w:rsidP="00745BD7">
      <w:pPr>
        <w:suppressAutoHyphens/>
        <w:ind w:left="1872" w:hanging="1248"/>
        <w:jc w:val="left"/>
        <w:rPr>
          <w:rFonts w:cs="Arial"/>
          <w:szCs w:val="22"/>
          <w:lang w:eastAsia="ar-SA"/>
        </w:rPr>
      </w:pPr>
      <w:r>
        <w:rPr>
          <w:rFonts w:cs="Arial"/>
          <w:szCs w:val="22"/>
          <w:lang w:eastAsia="ar-SA"/>
        </w:rPr>
        <w:t>LE</w:t>
      </w:r>
      <w:r>
        <w:rPr>
          <w:rFonts w:cs="Arial"/>
          <w:szCs w:val="22"/>
          <w:vertAlign w:val="subscript"/>
          <w:lang w:eastAsia="ar-SA"/>
        </w:rPr>
        <w:t>p1,y</w:t>
      </w:r>
      <w:r>
        <w:rPr>
          <w:rFonts w:cs="Arial"/>
          <w:szCs w:val="22"/>
          <w:lang w:eastAsia="ar-SA"/>
        </w:rPr>
        <w:tab/>
        <w:t>Leakage for project scenario p1 in year y (tCO</w:t>
      </w:r>
      <w:r>
        <w:rPr>
          <w:rFonts w:cs="Arial"/>
          <w:szCs w:val="22"/>
          <w:vertAlign w:val="subscript"/>
          <w:lang w:eastAsia="ar-SA"/>
        </w:rPr>
        <w:t>2</w:t>
      </w:r>
      <w:r>
        <w:rPr>
          <w:rFonts w:cs="Arial"/>
          <w:szCs w:val="22"/>
          <w:lang w:eastAsia="ar-SA"/>
        </w:rPr>
        <w:t>e/yr)</w:t>
      </w:r>
    </w:p>
    <w:p w14:paraId="12D6A542" w14:textId="77777777" w:rsidR="00745BD7" w:rsidRDefault="00745BD7" w:rsidP="00745BD7">
      <w:pPr>
        <w:rPr>
          <w:rFonts w:cs="Arial"/>
          <w:i/>
        </w:rPr>
      </w:pPr>
    </w:p>
    <w:p w14:paraId="4F8E9D82" w14:textId="77777777" w:rsidR="00745BD7" w:rsidRDefault="00745BD7" w:rsidP="00745BD7">
      <w:pPr>
        <w:rPr>
          <w:rFonts w:cs="Arial"/>
        </w:rPr>
      </w:pPr>
      <w:r>
        <w:rPr>
          <w:rFonts w:cs="Arial"/>
        </w:rPr>
        <w:t>As specific non-CO</w:t>
      </w:r>
      <w:r>
        <w:rPr>
          <w:rFonts w:cs="Arial"/>
          <w:vertAlign w:val="subscript"/>
        </w:rPr>
        <w:t>2</w:t>
      </w:r>
      <w:r>
        <w:rPr>
          <w:rFonts w:cs="Arial"/>
        </w:rPr>
        <w:t xml:space="preserve"> emission savings are treated in a separate equation (equation </w:t>
      </w:r>
      <w:r>
        <w:rPr>
          <w:rFonts w:cs="Arial"/>
          <w:b/>
        </w:rPr>
        <w:t>7</w:t>
      </w:r>
      <w:r w:rsidR="00BE6BC7">
        <w:rPr>
          <w:rFonts w:cs="Arial"/>
        </w:rPr>
        <w:t xml:space="preserve"> onwards), the VPA006</w:t>
      </w:r>
      <w:r>
        <w:rPr>
          <w:rFonts w:cs="Arial"/>
        </w:rPr>
        <w:t xml:space="preserve"> can apply the following formula for calculating emission reductions:</w:t>
      </w:r>
    </w:p>
    <w:p w14:paraId="2D3D5779" w14:textId="77777777" w:rsidR="00745BD7" w:rsidRDefault="00745BD7" w:rsidP="00745BD7">
      <w:pPr>
        <w:rPr>
          <w:rFonts w:cs="Arial"/>
        </w:rPr>
      </w:pPr>
    </w:p>
    <w:p w14:paraId="25518F3B" w14:textId="77777777" w:rsidR="00745BD7" w:rsidRDefault="00B964EE" w:rsidP="00745BD7">
      <w:pPr>
        <w:rPr>
          <w:rFonts w:cs="Arial"/>
        </w:rPr>
      </w:pPr>
      <m:oMath>
        <m:nary>
          <m:naryPr>
            <m:chr m:val="∑"/>
            <m:limLoc m:val="undOvr"/>
            <m:subHide m:val="1"/>
            <m:supHide m:val="1"/>
            <m:ctrlPr>
              <w:rPr>
                <w:rFonts w:ascii="Cambria Math" w:eastAsia="Calibri" w:hAnsi="Cambria Math"/>
                <w:i/>
                <w:szCs w:val="22"/>
                <w:lang w:val="de-DE"/>
              </w:rPr>
            </m:ctrlPr>
          </m:naryPr>
          <m:sub/>
          <m:sup/>
          <m:e>
            <m:sSub>
              <m:sSubPr>
                <m:ctrlPr>
                  <w:rPr>
                    <w:rFonts w:ascii="Cambria Math" w:eastAsia="Calibri" w:hAnsi="Cambria Math"/>
                    <w:szCs w:val="22"/>
                    <w:lang w:val="de-DE"/>
                  </w:rPr>
                </m:ctrlPr>
              </m:sSubPr>
              <m:e>
                <m:r>
                  <m:rPr>
                    <m:sty m:val="p"/>
                  </m:rPr>
                  <w:rPr>
                    <w:rFonts w:ascii="Cambria Math" w:hAnsi="Cambria Math"/>
                    <w:szCs w:val="22"/>
                  </w:rPr>
                  <m:t>ER</m:t>
                </m:r>
              </m:e>
              <m:sub>
                <m:r>
                  <m:rPr>
                    <m:sty m:val="p"/>
                  </m:rPr>
                  <w:rPr>
                    <w:rFonts w:ascii="Cambria Math" w:hAnsi="Cambria Math"/>
                    <w:szCs w:val="22"/>
                  </w:rPr>
                  <m:t>CO2,y</m:t>
                </m:r>
              </m:sub>
            </m:sSub>
          </m:e>
        </m:nary>
        <m:r>
          <w:rPr>
            <w:rFonts w:ascii="Cambria Math" w:hAnsi="Cambria Math"/>
            <w:szCs w:val="22"/>
          </w:rPr>
          <m:t>=(</m:t>
        </m:r>
        <m:nary>
          <m:naryPr>
            <m:chr m:val="∑"/>
            <m:limLoc m:val="undOvr"/>
            <m:subHide m:val="1"/>
            <m:supHide m:val="1"/>
            <m:ctrlPr>
              <w:rPr>
                <w:rFonts w:ascii="Cambria Math" w:eastAsia="Calibri" w:hAnsi="Cambria Math"/>
                <w:i/>
                <w:szCs w:val="22"/>
                <w:lang w:val="de-DE"/>
              </w:rPr>
            </m:ctrlPr>
          </m:naryPr>
          <m:sub/>
          <m:sup/>
          <m:e>
            <m:sSub>
              <m:sSubPr>
                <m:ctrlPr>
                  <w:rPr>
                    <w:rFonts w:ascii="Cambria Math" w:eastAsia="Calibri" w:hAnsi="Cambria Math"/>
                    <w:szCs w:val="22"/>
                    <w:lang w:val="de-DE"/>
                  </w:rPr>
                </m:ctrlPr>
              </m:sSubPr>
              <m:e>
                <m:r>
                  <m:rPr>
                    <m:sty m:val="p"/>
                  </m:rPr>
                  <w:rPr>
                    <w:rFonts w:ascii="Cambria Math" w:hAnsi="Cambria Math"/>
                    <w:szCs w:val="22"/>
                  </w:rPr>
                  <m:t>BE</m:t>
                </m:r>
              </m:e>
              <m:sub>
                <m:r>
                  <m:rPr>
                    <m:sty m:val="p"/>
                  </m:rPr>
                  <w:rPr>
                    <w:rFonts w:ascii="Cambria Math" w:hAnsi="Cambria Math"/>
                    <w:szCs w:val="22"/>
                  </w:rPr>
                  <m:t>b,CO2,y</m:t>
                </m:r>
              </m:sub>
            </m:sSub>
          </m:e>
        </m:nary>
        <m:r>
          <w:rPr>
            <w:rFonts w:ascii="Cambria Math" w:hAnsi="Cambria Math"/>
            <w:szCs w:val="22"/>
          </w:rPr>
          <m:t xml:space="preserve">- </m:t>
        </m:r>
        <m:nary>
          <m:naryPr>
            <m:chr m:val="∑"/>
            <m:limLoc m:val="undOvr"/>
            <m:subHide m:val="1"/>
            <m:supHide m:val="1"/>
            <m:ctrlPr>
              <w:rPr>
                <w:rFonts w:ascii="Cambria Math" w:eastAsia="Calibri" w:hAnsi="Cambria Math"/>
                <w:i/>
                <w:szCs w:val="22"/>
                <w:lang w:val="de-DE"/>
              </w:rPr>
            </m:ctrlPr>
          </m:naryPr>
          <m:sub/>
          <m:sup/>
          <m:e>
            <m:sSub>
              <m:sSubPr>
                <m:ctrlPr>
                  <w:rPr>
                    <w:rFonts w:ascii="Cambria Math" w:eastAsia="Calibri" w:hAnsi="Cambria Math"/>
                    <w:szCs w:val="22"/>
                    <w:lang w:val="de-DE"/>
                  </w:rPr>
                </m:ctrlPr>
              </m:sSubPr>
              <m:e>
                <m:r>
                  <m:rPr>
                    <m:sty m:val="p"/>
                  </m:rPr>
                  <w:rPr>
                    <w:rFonts w:ascii="Cambria Math" w:hAnsi="Cambria Math"/>
                    <w:szCs w:val="22"/>
                  </w:rPr>
                  <m:t>PE</m:t>
                </m:r>
              </m:e>
              <m:sub>
                <m:r>
                  <m:rPr>
                    <m:sty m:val="p"/>
                  </m:rPr>
                  <w:rPr>
                    <w:rFonts w:ascii="Cambria Math" w:hAnsi="Cambria Math"/>
                    <w:szCs w:val="22"/>
                  </w:rPr>
                  <m:t>p1,CO2,y</m:t>
                </m:r>
              </m:sub>
            </m:sSub>
          </m:e>
        </m:nary>
        <m:r>
          <w:rPr>
            <w:rFonts w:ascii="Cambria Math" w:hAnsi="Cambria Math"/>
            <w:szCs w:val="22"/>
          </w:rPr>
          <m:t xml:space="preserve">- </m:t>
        </m:r>
        <m:nary>
          <m:naryPr>
            <m:chr m:val="∑"/>
            <m:limLoc m:val="undOvr"/>
            <m:subHide m:val="1"/>
            <m:supHide m:val="1"/>
            <m:ctrlPr>
              <w:rPr>
                <w:rFonts w:ascii="Cambria Math" w:eastAsia="Calibri" w:hAnsi="Cambria Math"/>
                <w:i/>
                <w:szCs w:val="22"/>
                <w:lang w:val="de-DE"/>
              </w:rPr>
            </m:ctrlPr>
          </m:naryPr>
          <m:sub/>
          <m:sup/>
          <m:e>
            <m:sSub>
              <m:sSubPr>
                <m:ctrlPr>
                  <w:rPr>
                    <w:rFonts w:ascii="Cambria Math" w:eastAsia="Calibri" w:hAnsi="Cambria Math"/>
                    <w:szCs w:val="22"/>
                    <w:lang w:val="de-DE"/>
                  </w:rPr>
                </m:ctrlPr>
              </m:sSubPr>
              <m:e>
                <m:r>
                  <m:rPr>
                    <m:sty m:val="p"/>
                  </m:rPr>
                  <w:rPr>
                    <w:rFonts w:ascii="Cambria Math" w:hAnsi="Cambria Math"/>
                    <w:szCs w:val="22"/>
                  </w:rPr>
                  <m:t>LE</m:t>
                </m:r>
              </m:e>
              <m:sub>
                <m:r>
                  <m:rPr>
                    <m:sty m:val="p"/>
                  </m:rPr>
                  <w:rPr>
                    <w:rFonts w:ascii="Cambria Math" w:hAnsi="Cambria Math"/>
                    <w:szCs w:val="22"/>
                  </w:rPr>
                  <m:t>p1,CO2,y</m:t>
                </m:r>
              </m:sub>
            </m:sSub>
          </m:e>
        </m:nary>
        <m:r>
          <w:rPr>
            <w:rFonts w:ascii="Cambria Math" w:hAnsi="Cambria Math"/>
            <w:szCs w:val="22"/>
          </w:rPr>
          <m:t xml:space="preserve"> ) </m:t>
        </m:r>
        <m:r>
          <m:rPr>
            <m:sty m:val="p"/>
          </m:rPr>
          <w:rPr>
            <w:rFonts w:ascii="Cambria Math" w:hAnsi="Cambria Math"/>
            <w:szCs w:val="22"/>
          </w:rPr>
          <m:t>*</m:t>
        </m:r>
        <m:sSub>
          <m:sSubPr>
            <m:ctrlPr>
              <w:rPr>
                <w:rFonts w:ascii="Cambria Math" w:eastAsia="Calibri" w:hAnsi="Cambria Math"/>
                <w:szCs w:val="22"/>
              </w:rPr>
            </m:ctrlPr>
          </m:sSubPr>
          <m:e>
            <m:r>
              <m:rPr>
                <m:sty m:val="p"/>
              </m:rPr>
              <w:rPr>
                <w:rFonts w:ascii="Cambria Math" w:hAnsi="Cambria Math"/>
                <w:szCs w:val="22"/>
              </w:rPr>
              <m:t>N</m:t>
            </m:r>
          </m:e>
          <m:sub>
            <m:r>
              <m:rPr>
                <m:sty m:val="p"/>
              </m:rPr>
              <w:rPr>
                <w:rFonts w:ascii="Cambria Math" w:hAnsi="Cambria Math"/>
                <w:szCs w:val="22"/>
              </w:rPr>
              <m:t>p1,y</m:t>
            </m:r>
          </m:sub>
        </m:sSub>
        <m:r>
          <m:rPr>
            <m:sty m:val="p"/>
          </m:rPr>
          <w:rPr>
            <w:rFonts w:ascii="Cambria Math" w:hAnsi="Cambria Math"/>
            <w:szCs w:val="22"/>
          </w:rPr>
          <m:t xml:space="preserve">* </m:t>
        </m:r>
        <m:sSub>
          <m:sSubPr>
            <m:ctrlPr>
              <w:rPr>
                <w:rFonts w:ascii="Cambria Math" w:eastAsia="Calibri" w:hAnsi="Cambria Math"/>
                <w:szCs w:val="22"/>
              </w:rPr>
            </m:ctrlPr>
          </m:sSubPr>
          <m:e>
            <m:r>
              <m:rPr>
                <m:sty m:val="p"/>
              </m:rPr>
              <w:rPr>
                <w:rFonts w:ascii="Cambria Math" w:hAnsi="Cambria Math"/>
                <w:szCs w:val="22"/>
              </w:rPr>
              <m:t>U</m:t>
            </m:r>
          </m:e>
          <m:sub>
            <m:r>
              <m:rPr>
                <m:sty m:val="p"/>
              </m:rPr>
              <w:rPr>
                <w:rFonts w:ascii="Cambria Math" w:hAnsi="Cambria Math"/>
                <w:szCs w:val="22"/>
              </w:rPr>
              <m:t>p1,y</m:t>
            </m:r>
          </m:sub>
        </m:sSub>
      </m:oMath>
      <w:r w:rsidR="00745BD7">
        <w:rPr>
          <w:rFonts w:cs="Arial"/>
          <w:b/>
        </w:rPr>
        <w:t xml:space="preserve">               </w:t>
      </w:r>
      <w:r w:rsidR="00745BD7">
        <w:rPr>
          <w:rFonts w:cs="Arial"/>
          <w:b/>
        </w:rPr>
        <w:tab/>
      </w:r>
      <w:r w:rsidR="00745BD7">
        <w:rPr>
          <w:rFonts w:cs="Arial"/>
          <w:b/>
        </w:rPr>
        <w:tab/>
        <w:t xml:space="preserve">       (2)</w:t>
      </w:r>
    </w:p>
    <w:p w14:paraId="44F08ED8" w14:textId="77777777" w:rsidR="00745BD7" w:rsidRDefault="00745BD7" w:rsidP="00745BD7">
      <w:pPr>
        <w:rPr>
          <w:rFonts w:cs="Arial"/>
        </w:rPr>
      </w:pPr>
      <w:r>
        <w:rPr>
          <w:rFonts w:cs="Arial"/>
        </w:rPr>
        <w:tab/>
      </w:r>
      <w:r>
        <w:rPr>
          <w:rFonts w:cs="Arial"/>
        </w:rPr>
        <w:tab/>
      </w:r>
      <w:r>
        <w:rPr>
          <w:rFonts w:cs="Arial"/>
        </w:rPr>
        <w:tab/>
        <w:t xml:space="preserve">   </w:t>
      </w:r>
      <w:r>
        <w:rPr>
          <w:rFonts w:cs="Arial"/>
          <w:b/>
        </w:rPr>
        <w:tab/>
      </w:r>
    </w:p>
    <w:p w14:paraId="5BA4C816" w14:textId="77777777" w:rsidR="00745BD7" w:rsidRDefault="00745BD7" w:rsidP="00745BD7">
      <w:pPr>
        <w:rPr>
          <w:rFonts w:cs="Arial"/>
        </w:rPr>
      </w:pPr>
      <w:r>
        <w:rPr>
          <w:rFonts w:cs="Arial"/>
        </w:rPr>
        <w:t xml:space="preserve">Where: </w:t>
      </w:r>
    </w:p>
    <w:p w14:paraId="5B9CE91B" w14:textId="77777777" w:rsidR="00745BD7" w:rsidRDefault="00745BD7" w:rsidP="00745BD7">
      <w:pPr>
        <w:rPr>
          <w:rFonts w:cs="Arial"/>
        </w:rPr>
      </w:pPr>
    </w:p>
    <w:p w14:paraId="2DA786FA" w14:textId="77777777" w:rsidR="00745BD7" w:rsidRDefault="00745BD7" w:rsidP="00745BD7">
      <w:pPr>
        <w:suppressAutoHyphens/>
        <w:ind w:left="1872" w:hanging="1248"/>
        <w:jc w:val="left"/>
        <w:rPr>
          <w:rFonts w:cs="Arial"/>
          <w:szCs w:val="22"/>
          <w:lang w:eastAsia="ar-SA"/>
        </w:rPr>
      </w:pPr>
      <w:r>
        <w:rPr>
          <w:rFonts w:cs="Arial"/>
          <w:szCs w:val="22"/>
          <w:lang w:eastAsia="ar-SA"/>
        </w:rPr>
        <w:t>∑ER</w:t>
      </w:r>
      <w:r>
        <w:rPr>
          <w:rFonts w:cs="Arial"/>
          <w:szCs w:val="22"/>
          <w:vertAlign w:val="subscript"/>
          <w:lang w:eastAsia="ar-SA"/>
        </w:rPr>
        <w:t>CO2,y</w:t>
      </w:r>
      <w:r>
        <w:rPr>
          <w:rFonts w:cs="Arial"/>
          <w:szCs w:val="22"/>
          <w:lang w:eastAsia="ar-SA"/>
        </w:rPr>
        <w:tab/>
        <w:t xml:space="preserve">Cumulative </w:t>
      </w:r>
      <w:r>
        <w:rPr>
          <w:rFonts w:cs="Arial"/>
          <w:szCs w:val="22"/>
          <w:lang w:eastAsia="nl-NL"/>
        </w:rPr>
        <w:t>CO</w:t>
      </w:r>
      <w:r>
        <w:rPr>
          <w:rFonts w:cs="Arial"/>
          <w:szCs w:val="22"/>
          <w:vertAlign w:val="subscript"/>
          <w:lang w:eastAsia="nl-NL"/>
        </w:rPr>
        <w:t>2</w:t>
      </w:r>
      <w:r>
        <w:rPr>
          <w:rFonts w:cs="Arial"/>
          <w:szCs w:val="22"/>
          <w:lang w:eastAsia="ar-SA"/>
        </w:rPr>
        <w:t xml:space="preserve"> emission reductions from the substitution of non-renewable biomass and fossil fuels</w:t>
      </w:r>
    </w:p>
    <w:p w14:paraId="0EF1FA51" w14:textId="77777777" w:rsidR="00745BD7" w:rsidRDefault="00745BD7" w:rsidP="00745BD7">
      <w:pPr>
        <w:suppressAutoHyphens/>
        <w:jc w:val="left"/>
        <w:rPr>
          <w:rFonts w:cs="Arial"/>
          <w:szCs w:val="22"/>
          <w:lang w:eastAsia="ar-SA"/>
        </w:rPr>
      </w:pPr>
    </w:p>
    <w:p w14:paraId="741CB290" w14:textId="77777777" w:rsidR="00745BD7" w:rsidRDefault="00745BD7" w:rsidP="00745BD7">
      <w:pPr>
        <w:suppressAutoHyphens/>
        <w:ind w:left="1872" w:hanging="1248"/>
        <w:jc w:val="left"/>
        <w:rPr>
          <w:rFonts w:cs="Arial"/>
          <w:szCs w:val="22"/>
          <w:lang w:eastAsia="ar-SA"/>
        </w:rPr>
      </w:pPr>
      <w:r>
        <w:rPr>
          <w:rFonts w:cs="Arial"/>
          <w:szCs w:val="22"/>
          <w:lang w:eastAsia="ar-SA"/>
        </w:rPr>
        <w:t>∑BE</w:t>
      </w:r>
      <w:r>
        <w:rPr>
          <w:rFonts w:cs="Arial"/>
          <w:szCs w:val="22"/>
          <w:vertAlign w:val="subscript"/>
          <w:lang w:eastAsia="ar-SA"/>
        </w:rPr>
        <w:t>b,CO2,y</w:t>
      </w:r>
      <w:r>
        <w:rPr>
          <w:rFonts w:cs="Arial"/>
          <w:szCs w:val="22"/>
          <w:lang w:eastAsia="ar-SA"/>
        </w:rPr>
        <w:tab/>
        <w:t>Cumulative baseline emissions as calculated below under formula (</w:t>
      </w:r>
      <w:r>
        <w:rPr>
          <w:rFonts w:cs="Arial"/>
          <w:b/>
          <w:szCs w:val="22"/>
          <w:lang w:eastAsia="ar-SA"/>
        </w:rPr>
        <w:t>3</w:t>
      </w:r>
      <w:r>
        <w:rPr>
          <w:rFonts w:cs="Arial"/>
          <w:szCs w:val="22"/>
          <w:lang w:eastAsia="ar-SA"/>
        </w:rPr>
        <w:t xml:space="preserve">) of the VPA PDD </w:t>
      </w:r>
    </w:p>
    <w:p w14:paraId="0BFB46E9" w14:textId="77777777" w:rsidR="00745BD7" w:rsidRDefault="00745BD7" w:rsidP="00745BD7">
      <w:pPr>
        <w:suppressAutoHyphens/>
        <w:ind w:left="1872" w:hanging="1248"/>
        <w:jc w:val="left"/>
        <w:rPr>
          <w:rFonts w:cs="Arial"/>
          <w:szCs w:val="22"/>
          <w:lang w:eastAsia="ar-SA"/>
        </w:rPr>
      </w:pPr>
    </w:p>
    <w:p w14:paraId="41DC1137" w14:textId="77777777" w:rsidR="00745BD7" w:rsidRDefault="00745BD7" w:rsidP="00745BD7">
      <w:pPr>
        <w:suppressAutoHyphens/>
        <w:ind w:left="1872" w:hanging="1248"/>
        <w:jc w:val="left"/>
        <w:rPr>
          <w:rFonts w:cs="Arial"/>
          <w:szCs w:val="22"/>
          <w:lang w:eastAsia="ar-SA"/>
        </w:rPr>
      </w:pPr>
      <w:r>
        <w:rPr>
          <w:rFonts w:cs="Arial"/>
          <w:szCs w:val="22"/>
          <w:lang w:eastAsia="ar-SA"/>
        </w:rPr>
        <w:t>∑PE</w:t>
      </w:r>
      <w:r>
        <w:rPr>
          <w:rFonts w:cs="Arial"/>
          <w:szCs w:val="22"/>
          <w:vertAlign w:val="subscript"/>
          <w:lang w:eastAsia="ar-SA"/>
        </w:rPr>
        <w:t>p1,CO2,y</w:t>
      </w:r>
      <w:r>
        <w:rPr>
          <w:rFonts w:cs="Arial"/>
          <w:szCs w:val="22"/>
          <w:lang w:eastAsia="ar-SA"/>
        </w:rPr>
        <w:tab/>
        <w:t>Cumulative project emissions as calculated below under formula (</w:t>
      </w:r>
      <w:r>
        <w:rPr>
          <w:rFonts w:cs="Arial"/>
          <w:b/>
          <w:szCs w:val="22"/>
          <w:lang w:eastAsia="ar-SA"/>
        </w:rPr>
        <w:t>4</w:t>
      </w:r>
      <w:r>
        <w:rPr>
          <w:rFonts w:cs="Arial"/>
          <w:szCs w:val="22"/>
          <w:lang w:eastAsia="ar-SA"/>
        </w:rPr>
        <w:t xml:space="preserve">) of VPA PDD </w:t>
      </w:r>
    </w:p>
    <w:p w14:paraId="328D4A24" w14:textId="77777777" w:rsidR="00745BD7" w:rsidRDefault="00745BD7" w:rsidP="00745BD7">
      <w:pPr>
        <w:suppressAutoHyphens/>
        <w:ind w:left="1872" w:hanging="1248"/>
        <w:jc w:val="left"/>
        <w:rPr>
          <w:rFonts w:cs="Arial"/>
          <w:szCs w:val="22"/>
          <w:lang w:eastAsia="ar-SA"/>
        </w:rPr>
      </w:pPr>
    </w:p>
    <w:p w14:paraId="716214C7" w14:textId="77777777" w:rsidR="00745BD7" w:rsidRDefault="00745BD7" w:rsidP="00745BD7">
      <w:pPr>
        <w:suppressAutoHyphens/>
        <w:ind w:left="1872" w:hanging="1248"/>
        <w:jc w:val="left"/>
        <w:rPr>
          <w:rFonts w:cs="Arial"/>
          <w:szCs w:val="22"/>
          <w:lang w:eastAsia="ar-SA"/>
        </w:rPr>
      </w:pPr>
      <w:r>
        <w:rPr>
          <w:rFonts w:cs="Arial"/>
          <w:szCs w:val="22"/>
          <w:lang w:eastAsia="ar-SA"/>
        </w:rPr>
        <w:t>∑LE</w:t>
      </w:r>
      <w:r>
        <w:rPr>
          <w:rFonts w:cs="Arial"/>
          <w:szCs w:val="22"/>
          <w:vertAlign w:val="subscript"/>
          <w:lang w:eastAsia="ar-SA"/>
        </w:rPr>
        <w:t>p1,CO2,y</w:t>
      </w:r>
      <w:r>
        <w:rPr>
          <w:rFonts w:cs="Arial"/>
          <w:szCs w:val="22"/>
          <w:lang w:eastAsia="ar-SA"/>
        </w:rPr>
        <w:tab/>
        <w:t>Cumulative leakage as per methodology guidance</w:t>
      </w:r>
      <w:r>
        <w:rPr>
          <w:rFonts w:cs="Arial"/>
          <w:szCs w:val="22"/>
          <w:vertAlign w:val="superscript"/>
          <w:lang w:eastAsia="ar-SA"/>
        </w:rPr>
        <w:footnoteReference w:id="24"/>
      </w:r>
      <w:r>
        <w:rPr>
          <w:rFonts w:cs="Arial"/>
          <w:szCs w:val="22"/>
          <w:lang w:eastAsia="ar-SA"/>
        </w:rPr>
        <w:t xml:space="preserve"> </w:t>
      </w:r>
    </w:p>
    <w:p w14:paraId="5AC3FDFE" w14:textId="77777777" w:rsidR="00745BD7" w:rsidRDefault="00745BD7" w:rsidP="00745BD7">
      <w:pPr>
        <w:suppressAutoHyphens/>
        <w:ind w:left="1872" w:hanging="1248"/>
        <w:jc w:val="left"/>
        <w:rPr>
          <w:rFonts w:cs="Arial"/>
          <w:szCs w:val="22"/>
          <w:lang w:eastAsia="ar-SA"/>
        </w:rPr>
      </w:pPr>
    </w:p>
    <w:p w14:paraId="2BF3E21A" w14:textId="77777777" w:rsidR="00745BD7" w:rsidRDefault="00745BD7" w:rsidP="00745BD7">
      <w:pPr>
        <w:suppressAutoHyphens/>
        <w:ind w:left="1872" w:hanging="1248"/>
        <w:jc w:val="left"/>
        <w:rPr>
          <w:rFonts w:cs="Arial"/>
          <w:szCs w:val="22"/>
          <w:lang w:eastAsia="ar-SA"/>
        </w:rPr>
      </w:pPr>
      <w:r>
        <w:rPr>
          <w:rFonts w:cs="Arial"/>
          <w:szCs w:val="22"/>
          <w:lang w:eastAsia="ar-SA"/>
        </w:rPr>
        <w:t>N</w:t>
      </w:r>
      <w:r>
        <w:rPr>
          <w:rFonts w:cs="Arial"/>
          <w:szCs w:val="22"/>
          <w:vertAlign w:val="subscript"/>
          <w:lang w:eastAsia="ar-SA"/>
        </w:rPr>
        <w:t>p1,y</w:t>
      </w:r>
      <w:r>
        <w:rPr>
          <w:rFonts w:cs="Arial"/>
          <w:szCs w:val="22"/>
          <w:lang w:eastAsia="ar-SA"/>
        </w:rPr>
        <w:tab/>
        <w:t>Cumulative project operational rate included in the project database for project scenario p1 against baseline scenario b1 in year y</w:t>
      </w:r>
    </w:p>
    <w:p w14:paraId="4635B757" w14:textId="77777777" w:rsidR="00745BD7" w:rsidRDefault="00745BD7" w:rsidP="00745BD7">
      <w:pPr>
        <w:suppressAutoHyphens/>
        <w:ind w:left="1872" w:hanging="1248"/>
        <w:jc w:val="left"/>
        <w:rPr>
          <w:rFonts w:cs="Arial"/>
          <w:szCs w:val="22"/>
          <w:lang w:eastAsia="ar-SA"/>
        </w:rPr>
      </w:pPr>
    </w:p>
    <w:p w14:paraId="15C771C7" w14:textId="77777777" w:rsidR="00745BD7" w:rsidRDefault="00745BD7" w:rsidP="00745BD7">
      <w:pPr>
        <w:suppressAutoHyphens/>
        <w:ind w:left="1872" w:hanging="1248"/>
        <w:jc w:val="left"/>
        <w:rPr>
          <w:rFonts w:cs="Arial"/>
          <w:szCs w:val="22"/>
          <w:lang w:eastAsia="ar-SA"/>
        </w:rPr>
      </w:pPr>
      <w:r>
        <w:rPr>
          <w:rFonts w:cs="Arial"/>
          <w:szCs w:val="22"/>
          <w:lang w:eastAsia="ar-SA"/>
        </w:rPr>
        <w:t>U</w:t>
      </w:r>
      <w:r>
        <w:rPr>
          <w:rFonts w:cs="Arial"/>
          <w:szCs w:val="22"/>
          <w:vertAlign w:val="subscript"/>
          <w:lang w:eastAsia="ar-SA"/>
        </w:rPr>
        <w:t xml:space="preserve">p1,y </w:t>
      </w:r>
      <w:r>
        <w:rPr>
          <w:rFonts w:cs="Arial"/>
          <w:szCs w:val="22"/>
          <w:lang w:eastAsia="ar-SA"/>
        </w:rPr>
        <w:tab/>
        <w:t>Cumulative usage rate for technologies in project scenario p1 in year y, based on cumulative adoption rate and drop off rate (fraction)</w:t>
      </w:r>
    </w:p>
    <w:p w14:paraId="1F64ABB9" w14:textId="77777777" w:rsidR="00745BD7" w:rsidRDefault="00745BD7" w:rsidP="00745BD7">
      <w:pPr>
        <w:rPr>
          <w:rFonts w:cs="Arial"/>
        </w:rPr>
      </w:pPr>
    </w:p>
    <w:p w14:paraId="741C962B" w14:textId="77777777" w:rsidR="00745BD7" w:rsidRDefault="00745BD7" w:rsidP="00745BD7">
      <w:pPr>
        <w:rPr>
          <w:u w:val="single"/>
        </w:rPr>
      </w:pPr>
      <w:r>
        <w:rPr>
          <w:u w:val="single"/>
        </w:rPr>
        <w:t xml:space="preserve">Baseline emissions: </w:t>
      </w:r>
    </w:p>
    <w:p w14:paraId="07B9F825" w14:textId="77777777" w:rsidR="00745BD7" w:rsidRDefault="00745BD7" w:rsidP="00745BD7">
      <w:r>
        <w:rPr>
          <w:rFonts w:cs="Arial"/>
          <w:szCs w:val="22"/>
        </w:rPr>
        <w:t>Applicable b</w:t>
      </w:r>
      <w:r w:rsidR="00BE6BC7">
        <w:rPr>
          <w:rFonts w:cs="Arial"/>
          <w:szCs w:val="22"/>
        </w:rPr>
        <w:t>aseline scenarios for this VPA006</w:t>
      </w:r>
      <w:r>
        <w:rPr>
          <w:rFonts w:cs="Arial"/>
          <w:szCs w:val="22"/>
        </w:rPr>
        <w:t xml:space="preserve"> are defined by the typical baseline fuel consumption patterns in a population that is targeted for adoption of the biodigester technology. The amount of baseline scenarios for this VPA has been defined through a</w:t>
      </w:r>
      <w:r w:rsidR="0002671B">
        <w:rPr>
          <w:rFonts w:cs="Arial"/>
          <w:szCs w:val="22"/>
        </w:rPr>
        <w:t xml:space="preserve"> series of</w:t>
      </w:r>
      <w:r>
        <w:rPr>
          <w:rFonts w:cs="Arial"/>
          <w:szCs w:val="22"/>
        </w:rPr>
        <w:t xml:space="preserve"> baseline</w:t>
      </w:r>
      <w:r w:rsidR="0002671B">
        <w:rPr>
          <w:rFonts w:cs="Arial"/>
          <w:szCs w:val="22"/>
        </w:rPr>
        <w:t xml:space="preserve"> Kitchen Performance Tests, and a survey</w:t>
      </w:r>
      <w:r>
        <w:rPr>
          <w:rFonts w:cs="Arial"/>
          <w:szCs w:val="22"/>
        </w:rPr>
        <w:t>. The survey determines the ratio of users for each identified baseline scenario</w:t>
      </w:r>
      <w:r w:rsidR="0002671B">
        <w:rPr>
          <w:rFonts w:cs="Arial"/>
          <w:szCs w:val="22"/>
        </w:rPr>
        <w:t xml:space="preserve">. </w:t>
      </w:r>
      <w:r>
        <w:t>The following formula calculates the three baseline emissions per household:</w:t>
      </w:r>
    </w:p>
    <w:p w14:paraId="0471551F" w14:textId="77777777" w:rsidR="00745BD7" w:rsidRDefault="00386F9E" w:rsidP="00745BD7">
      <w:pPr>
        <w:rPr>
          <w:position w:val="-10"/>
        </w:rPr>
      </w:pPr>
      <w:r>
        <w:fldChar w:fldCharType="begin"/>
      </w:r>
      <w:r w:rsidR="00745BD7">
        <w:instrText xml:space="preserve"> QUOTE </w:instrText>
      </w:r>
      <w:r w:rsidR="00745BD7" w:rsidRPr="001E0142">
        <w:rPr>
          <w:rFonts w:ascii="Cambria Math" w:hAnsi="Cambria Math"/>
          <w:sz w:val="24"/>
        </w:rPr>
        <w:instrText>BECO2, y</w:instrText>
      </w:r>
      <w:r w:rsidR="00745BD7" w:rsidRPr="00745BD7">
        <w:rPr>
          <w:rFonts w:ascii="Cambria Math" w:hAnsi="Cambria Math"/>
          <w:sz w:val="24"/>
        </w:rPr>
        <w:instrText xml:space="preserve">= </w:instrText>
      </w:r>
      <w:r w:rsidR="00745BD7" w:rsidRPr="001E0142">
        <w:rPr>
          <w:rFonts w:ascii="Cambria Math" w:hAnsi="Cambria Math"/>
          <w:sz w:val="24"/>
        </w:rPr>
        <w:instrText>(BBb,1,fuel</w:instrText>
      </w:r>
      <w:r w:rsidR="00745BD7" w:rsidRPr="00745BD7">
        <w:rPr>
          <w:rFonts w:ascii="Cambria Math" w:hAnsi="Cambria Math"/>
          <w:sz w:val="24"/>
        </w:rPr>
        <w:instrText xml:space="preserve">* </w:instrText>
      </w:r>
      <w:r w:rsidR="00745BD7" w:rsidRPr="001E0142">
        <w:rPr>
          <w:rFonts w:ascii="Cambria Math" w:hAnsi="Cambria Math"/>
          <w:sz w:val="24"/>
        </w:rPr>
        <w:instrText xml:space="preserve">NCVfuel </w:instrText>
      </w:r>
      <w:r w:rsidR="00745BD7" w:rsidRPr="00745BD7">
        <w:rPr>
          <w:rFonts w:ascii="Cambria Math" w:hAnsi="Cambria Math"/>
          <w:sz w:val="24"/>
        </w:rPr>
        <w:instrText xml:space="preserve">* </w:instrText>
      </w:r>
      <w:r w:rsidR="00745BD7" w:rsidRPr="001E0142">
        <w:rPr>
          <w:rFonts w:ascii="Cambria Math" w:hAnsi="Cambria Math"/>
          <w:sz w:val="24"/>
        </w:rPr>
        <w:instrText>EFb,fuel</w:instrText>
      </w:r>
      <w:r w:rsidR="00745BD7" w:rsidRPr="00745BD7">
        <w:rPr>
          <w:rFonts w:ascii="Cambria Math" w:hAnsi="Cambria Math"/>
          <w:sz w:val="24"/>
        </w:rPr>
        <w:instrText xml:space="preserve"> )+( </w:instrText>
      </w:r>
      <w:r w:rsidR="00745BD7" w:rsidRPr="001E0142">
        <w:rPr>
          <w:rFonts w:ascii="Cambria Math" w:hAnsi="Cambria Math"/>
          <w:sz w:val="24"/>
        </w:rPr>
        <w:instrText>BBb, 1,bio</w:instrText>
      </w:r>
      <w:r w:rsidR="00745BD7" w:rsidRPr="00745BD7">
        <w:rPr>
          <w:rFonts w:ascii="Cambria Math" w:hAnsi="Cambria Math"/>
          <w:sz w:val="24"/>
        </w:rPr>
        <w:instrText>*</w:instrText>
      </w:r>
      <w:r w:rsidR="00745BD7" w:rsidRPr="001E0142">
        <w:rPr>
          <w:rFonts w:ascii="Cambria Math" w:hAnsi="Cambria Math"/>
          <w:sz w:val="24"/>
        </w:rPr>
        <w:instrText xml:space="preserve">NCVbio </w:instrText>
      </w:r>
      <w:r w:rsidR="00745BD7" w:rsidRPr="00745BD7">
        <w:rPr>
          <w:rFonts w:ascii="Cambria Math" w:hAnsi="Cambria Math"/>
          <w:sz w:val="24"/>
        </w:rPr>
        <w:instrText xml:space="preserve">* </w:instrText>
      </w:r>
      <w:r w:rsidR="00745BD7" w:rsidRPr="001E0142">
        <w:rPr>
          <w:rFonts w:ascii="Cambria Math" w:hAnsi="Cambria Math"/>
          <w:sz w:val="24"/>
        </w:rPr>
        <w:instrText>EFb,bio</w:instrText>
      </w:r>
      <w:r w:rsidR="00745BD7" w:rsidRPr="00745BD7">
        <w:rPr>
          <w:rFonts w:ascii="Cambria Math" w:hAnsi="Cambria Math"/>
          <w:sz w:val="24"/>
        </w:rPr>
        <w:instrText xml:space="preserve">* </w:instrText>
      </w:r>
      <w:r w:rsidR="00745BD7" w:rsidRPr="001E0142">
        <w:rPr>
          <w:rFonts w:ascii="Cambria Math" w:hAnsi="Cambria Math"/>
          <w:sz w:val="24"/>
        </w:rPr>
        <w:instrText>fNRB</w:instrText>
      </w:r>
      <w:r w:rsidR="00745BD7" w:rsidRPr="00745BD7">
        <w:rPr>
          <w:rFonts w:ascii="Cambria Math" w:hAnsi="Cambria Math"/>
          <w:sz w:val="24"/>
        </w:rPr>
        <w:instrText>)</w:instrText>
      </w:r>
      <w:r w:rsidR="00745BD7">
        <w:instrText xml:space="preserve"> </w:instrText>
      </w:r>
      <w:r>
        <w:fldChar w:fldCharType="separate"/>
      </w:r>
    </w:p>
    <w:p w14:paraId="0ADB4A26" w14:textId="77777777" w:rsidR="00745BD7" w:rsidRDefault="00B964EE" w:rsidP="00745BD7">
      <w:pPr>
        <w:rPr>
          <w:szCs w:val="22"/>
        </w:rPr>
      </w:pPr>
      <m:oMath>
        <m:sSub>
          <m:sSubPr>
            <m:ctrlPr>
              <w:rPr>
                <w:rFonts w:ascii="Cambria Math" w:eastAsia="Calibri" w:hAnsi="Cambria Math"/>
                <w:b/>
                <w:szCs w:val="22"/>
                <w:lang w:val="de-DE"/>
              </w:rPr>
            </m:ctrlPr>
          </m:sSubPr>
          <m:e>
            <m:r>
              <m:rPr>
                <m:sty m:val="p"/>
              </m:rPr>
              <w:rPr>
                <w:rFonts w:ascii="Cambria Math" w:eastAsia="Calibri" w:hAnsi="Cambria Math"/>
                <w:szCs w:val="22"/>
                <w:lang w:val="de-DE"/>
              </w:rPr>
              <m:t>BE</m:t>
            </m:r>
          </m:e>
          <m:sub>
            <m:r>
              <m:rPr>
                <m:sty m:val="p"/>
              </m:rPr>
              <w:rPr>
                <w:rFonts w:ascii="Cambria Math" w:eastAsia="Calibri" w:hAnsi="Cambria Math"/>
                <w:szCs w:val="22"/>
                <w:lang w:val="de-DE"/>
              </w:rPr>
              <m:t>bCO2, y</m:t>
            </m:r>
          </m:sub>
        </m:sSub>
        <m:r>
          <m:rPr>
            <m:sty m:val="p"/>
          </m:rPr>
          <w:rPr>
            <w:rFonts w:ascii="Cambria Math" w:eastAsia="Calibri" w:hAnsi="Cambria Math"/>
            <w:szCs w:val="22"/>
            <w:lang w:val="de-DE"/>
          </w:rPr>
          <m:t xml:space="preserve">= </m:t>
        </m:r>
        <m:nary>
          <m:naryPr>
            <m:chr m:val="∑"/>
            <m:limLoc m:val="subSup"/>
            <m:supHide m:val="1"/>
            <m:ctrlPr>
              <w:rPr>
                <w:rFonts w:ascii="Cambria Math" w:eastAsia="Calibri" w:hAnsi="Cambria Math"/>
                <w:szCs w:val="22"/>
                <w:lang w:val="de-DE"/>
              </w:rPr>
            </m:ctrlPr>
          </m:naryPr>
          <m:sub>
            <m:r>
              <m:rPr>
                <m:sty m:val="p"/>
              </m:rPr>
              <w:rPr>
                <w:rFonts w:ascii="Cambria Math" w:eastAsia="Calibri" w:hAnsi="Cambria Math"/>
                <w:szCs w:val="22"/>
                <w:lang w:val="de-DE"/>
              </w:rPr>
              <m:t>b</m:t>
            </m:r>
          </m:sub>
          <m:sup/>
          <m:e>
            <m:r>
              <m:rPr>
                <m:sty m:val="p"/>
              </m:rPr>
              <w:rPr>
                <w:rFonts w:ascii="Cambria Math" w:eastAsia="Calibri" w:hAnsi="Cambria Math"/>
                <w:szCs w:val="22"/>
                <w:lang w:val="de-DE"/>
              </w:rPr>
              <m:t>(</m:t>
            </m:r>
            <m:sSub>
              <m:sSubPr>
                <m:ctrlPr>
                  <w:rPr>
                    <w:rFonts w:ascii="Cambria Math" w:eastAsia="Calibri" w:hAnsi="Cambria Math"/>
                    <w:szCs w:val="22"/>
                    <w:lang w:val="de-DE"/>
                  </w:rPr>
                </m:ctrlPr>
              </m:sSubPr>
              <m:e>
                <m:r>
                  <m:rPr>
                    <m:sty m:val="p"/>
                  </m:rPr>
                  <w:rPr>
                    <w:rFonts w:ascii="Cambria Math" w:eastAsia="Calibri" w:hAnsi="Cambria Math"/>
                    <w:szCs w:val="22"/>
                    <w:lang w:val="de-DE"/>
                  </w:rPr>
                  <m:t>BB</m:t>
                </m:r>
              </m:e>
              <m:sub>
                <m:r>
                  <m:rPr>
                    <m:sty m:val="p"/>
                  </m:rPr>
                  <w:rPr>
                    <w:rFonts w:ascii="Cambria Math" w:eastAsia="Calibri" w:hAnsi="Cambria Math"/>
                    <w:szCs w:val="22"/>
                  </w:rPr>
                  <m:t>b</m:t>
                </m:r>
                <m:r>
                  <m:rPr>
                    <m:sty m:val="p"/>
                  </m:rPr>
                  <w:rPr>
                    <w:rFonts w:ascii="Cambria Math" w:eastAsia="Calibri" w:hAnsi="Cambria Math"/>
                    <w:szCs w:val="22"/>
                    <w:lang w:val="de-DE"/>
                  </w:rPr>
                  <m:t>,fuel</m:t>
                </m:r>
              </m:sub>
            </m:sSub>
          </m:e>
        </m:nary>
        <m:r>
          <m:rPr>
            <m:sty m:val="p"/>
          </m:rPr>
          <w:rPr>
            <w:rFonts w:ascii="Cambria Math" w:eastAsia="Calibri" w:hAnsi="Cambria Math"/>
            <w:szCs w:val="22"/>
            <w:lang w:val="de-DE"/>
          </w:rPr>
          <m:t xml:space="preserve">* </m:t>
        </m:r>
        <m:sSub>
          <m:sSubPr>
            <m:ctrlPr>
              <w:rPr>
                <w:rFonts w:ascii="Cambria Math" w:eastAsia="Calibri" w:hAnsi="Cambria Math"/>
                <w:szCs w:val="22"/>
                <w:lang w:val="de-DE"/>
              </w:rPr>
            </m:ctrlPr>
          </m:sSubPr>
          <m:e>
            <m:r>
              <m:rPr>
                <m:sty m:val="p"/>
              </m:rPr>
              <w:rPr>
                <w:rFonts w:ascii="Cambria Math" w:eastAsia="Calibri" w:hAnsi="Cambria Math"/>
                <w:szCs w:val="22"/>
                <w:lang w:val="de-DE"/>
              </w:rPr>
              <m:t>NCV</m:t>
            </m:r>
          </m:e>
          <m:sub>
            <m:r>
              <m:rPr>
                <m:sty m:val="p"/>
              </m:rPr>
              <w:rPr>
                <w:rFonts w:ascii="Cambria Math" w:eastAsia="Calibri" w:hAnsi="Cambria Math"/>
                <w:szCs w:val="22"/>
                <w:lang w:val="de-DE"/>
              </w:rPr>
              <m:t xml:space="preserve">fuel </m:t>
            </m:r>
          </m:sub>
        </m:sSub>
        <m:r>
          <m:rPr>
            <m:sty m:val="p"/>
          </m:rPr>
          <w:rPr>
            <w:rFonts w:ascii="Cambria Math" w:eastAsia="Calibri" w:hAnsi="Cambria Math"/>
            <w:szCs w:val="22"/>
            <w:lang w:val="de-DE"/>
          </w:rPr>
          <m:t xml:space="preserve">* </m:t>
        </m:r>
        <m:sSub>
          <m:sSubPr>
            <m:ctrlPr>
              <w:rPr>
                <w:rFonts w:ascii="Cambria Math" w:eastAsia="Calibri" w:hAnsi="Cambria Math"/>
                <w:szCs w:val="22"/>
                <w:lang w:val="de-DE"/>
              </w:rPr>
            </m:ctrlPr>
          </m:sSubPr>
          <m:e>
            <m:r>
              <m:rPr>
                <m:sty m:val="p"/>
              </m:rPr>
              <w:rPr>
                <w:rFonts w:ascii="Cambria Math" w:eastAsia="Calibri" w:hAnsi="Cambria Math"/>
                <w:szCs w:val="22"/>
                <w:lang w:val="de-DE"/>
              </w:rPr>
              <m:t>EF</m:t>
            </m:r>
          </m:e>
          <m:sub>
            <m:r>
              <m:rPr>
                <m:sty m:val="p"/>
              </m:rPr>
              <w:rPr>
                <w:rFonts w:ascii="Cambria Math" w:eastAsia="Calibri" w:hAnsi="Cambria Math"/>
                <w:szCs w:val="22"/>
                <w:lang w:val="de-DE"/>
              </w:rPr>
              <m:t>b,fuel</m:t>
            </m:r>
          </m:sub>
        </m:sSub>
        <m:r>
          <m:rPr>
            <m:sty m:val="p"/>
          </m:rPr>
          <w:rPr>
            <w:rFonts w:ascii="Cambria Math" w:eastAsia="Calibri" w:hAnsi="Cambria Math"/>
            <w:szCs w:val="22"/>
            <w:lang w:val="de-DE"/>
          </w:rPr>
          <m:t xml:space="preserve"> )+( </m:t>
        </m:r>
        <m:sSub>
          <m:sSubPr>
            <m:ctrlPr>
              <w:rPr>
                <w:rFonts w:ascii="Cambria Math" w:eastAsia="Calibri" w:hAnsi="Cambria Math"/>
                <w:i/>
                <w:szCs w:val="22"/>
                <w:lang w:val="de-DE"/>
              </w:rPr>
            </m:ctrlPr>
          </m:sSubPr>
          <m:e>
            <m:r>
              <m:rPr>
                <m:sty m:val="p"/>
              </m:rPr>
              <w:rPr>
                <w:rFonts w:ascii="Cambria Math" w:eastAsia="Calibri" w:hAnsi="Cambria Math"/>
                <w:szCs w:val="22"/>
                <w:lang w:val="de-DE"/>
              </w:rPr>
              <m:t>BB</m:t>
            </m:r>
          </m:e>
          <m:sub>
            <m:r>
              <m:rPr>
                <m:sty m:val="p"/>
              </m:rPr>
              <w:rPr>
                <w:rFonts w:ascii="Cambria Math" w:eastAsia="Calibri" w:hAnsi="Cambria Math"/>
                <w:szCs w:val="22"/>
              </w:rPr>
              <m:t>b</m:t>
            </m:r>
            <m:r>
              <m:rPr>
                <m:sty m:val="p"/>
              </m:rPr>
              <w:rPr>
                <w:rFonts w:ascii="Cambria Math" w:eastAsia="Calibri" w:hAnsi="Cambria Math"/>
                <w:szCs w:val="22"/>
                <w:lang w:val="de-DE"/>
              </w:rPr>
              <m:t>,bio</m:t>
            </m:r>
          </m:sub>
        </m:sSub>
        <m:r>
          <m:rPr>
            <m:sty m:val="p"/>
          </m:rPr>
          <w:rPr>
            <w:rFonts w:ascii="Cambria Math" w:eastAsia="Calibri" w:hAnsi="Cambria Math"/>
            <w:szCs w:val="22"/>
            <w:lang w:val="de-DE"/>
          </w:rPr>
          <m:t>*</m:t>
        </m:r>
        <m:sSub>
          <m:sSubPr>
            <m:ctrlPr>
              <w:rPr>
                <w:rFonts w:ascii="Cambria Math" w:eastAsia="Calibri" w:hAnsi="Cambria Math"/>
                <w:i/>
                <w:szCs w:val="22"/>
                <w:lang w:val="de-DE"/>
              </w:rPr>
            </m:ctrlPr>
          </m:sSubPr>
          <m:e>
            <m:r>
              <m:rPr>
                <m:sty m:val="p"/>
              </m:rPr>
              <w:rPr>
                <w:rFonts w:ascii="Cambria Math" w:eastAsia="Calibri" w:hAnsi="Cambria Math"/>
                <w:szCs w:val="22"/>
                <w:lang w:val="de-DE"/>
              </w:rPr>
              <m:t>NCV</m:t>
            </m:r>
          </m:e>
          <m:sub>
            <m:r>
              <m:rPr>
                <m:sty m:val="p"/>
              </m:rPr>
              <w:rPr>
                <w:rFonts w:ascii="Cambria Math" w:eastAsia="Calibri" w:hAnsi="Cambria Math"/>
                <w:szCs w:val="22"/>
                <w:lang w:val="de-DE"/>
              </w:rPr>
              <m:t xml:space="preserve">bio </m:t>
            </m:r>
          </m:sub>
        </m:sSub>
        <m:r>
          <m:rPr>
            <m:sty m:val="p"/>
          </m:rPr>
          <w:rPr>
            <w:rFonts w:ascii="Cambria Math" w:eastAsia="Calibri" w:hAnsi="Cambria Math"/>
            <w:szCs w:val="22"/>
            <w:lang w:val="de-DE"/>
          </w:rPr>
          <m:t xml:space="preserve">* </m:t>
        </m:r>
        <m:sSub>
          <m:sSubPr>
            <m:ctrlPr>
              <w:rPr>
                <w:rFonts w:ascii="Cambria Math" w:eastAsia="Calibri" w:hAnsi="Cambria Math"/>
                <w:i/>
                <w:szCs w:val="22"/>
                <w:lang w:val="de-DE"/>
              </w:rPr>
            </m:ctrlPr>
          </m:sSubPr>
          <m:e>
            <m:r>
              <m:rPr>
                <m:sty m:val="p"/>
              </m:rPr>
              <w:rPr>
                <w:rFonts w:ascii="Cambria Math" w:eastAsia="Calibri" w:hAnsi="Cambria Math"/>
                <w:szCs w:val="22"/>
                <w:lang w:val="de-DE"/>
              </w:rPr>
              <m:t>EF</m:t>
            </m:r>
          </m:e>
          <m:sub>
            <m:r>
              <m:rPr>
                <m:sty m:val="p"/>
              </m:rPr>
              <w:rPr>
                <w:rFonts w:ascii="Cambria Math" w:eastAsia="Calibri" w:hAnsi="Cambria Math"/>
                <w:szCs w:val="22"/>
                <w:lang w:val="de-DE"/>
              </w:rPr>
              <m:t>b,bio</m:t>
            </m:r>
          </m:sub>
        </m:sSub>
        <m:r>
          <m:rPr>
            <m:sty m:val="p"/>
          </m:rPr>
          <w:rPr>
            <w:rFonts w:ascii="Cambria Math" w:eastAsia="Calibri" w:hAnsi="Cambria Math"/>
            <w:szCs w:val="22"/>
            <w:lang w:val="de-DE"/>
          </w:rPr>
          <m:t xml:space="preserve">* </m:t>
        </m:r>
        <m:sSub>
          <m:sSubPr>
            <m:ctrlPr>
              <w:rPr>
                <w:rFonts w:ascii="Cambria Math" w:eastAsia="Calibri" w:hAnsi="Cambria Math"/>
                <w:i/>
                <w:szCs w:val="22"/>
                <w:lang w:val="de-DE"/>
              </w:rPr>
            </m:ctrlPr>
          </m:sSubPr>
          <m:e>
            <m:r>
              <m:rPr>
                <m:sty m:val="p"/>
              </m:rPr>
              <w:rPr>
                <w:rFonts w:ascii="Cambria Math" w:eastAsia="Calibri" w:hAnsi="Cambria Math"/>
                <w:szCs w:val="22"/>
                <w:lang w:val="de-DE"/>
              </w:rPr>
              <m:t>f</m:t>
            </m:r>
          </m:e>
          <m:sub>
            <m:r>
              <m:rPr>
                <m:sty m:val="p"/>
              </m:rPr>
              <w:rPr>
                <w:rFonts w:ascii="Cambria Math" w:eastAsia="Calibri" w:hAnsi="Cambria Math"/>
                <w:szCs w:val="22"/>
                <w:lang w:val="de-DE"/>
              </w:rPr>
              <m:t>NRB</m:t>
            </m:r>
          </m:sub>
        </m:sSub>
        <m:r>
          <m:rPr>
            <m:sty m:val="p"/>
          </m:rPr>
          <w:rPr>
            <w:rFonts w:ascii="Cambria Math" w:eastAsia="Calibri" w:hAnsi="Cambria Math"/>
            <w:szCs w:val="22"/>
            <w:lang w:val="de-DE"/>
          </w:rPr>
          <m:t xml:space="preserve">)  </m:t>
        </m:r>
      </m:oMath>
      <w:r w:rsidR="00745BD7">
        <w:rPr>
          <w:szCs w:val="22"/>
        </w:rPr>
        <w:t xml:space="preserve">             (</w:t>
      </w:r>
      <w:r w:rsidR="00745BD7">
        <w:rPr>
          <w:b/>
          <w:szCs w:val="22"/>
        </w:rPr>
        <w:t>3)</w:t>
      </w:r>
    </w:p>
    <w:p w14:paraId="19B85D03" w14:textId="77777777" w:rsidR="00745BD7" w:rsidRDefault="00745BD7" w:rsidP="00745BD7">
      <w:pPr>
        <w:rPr>
          <w:b/>
          <w:position w:val="-10"/>
          <w:lang w:val="de-DE"/>
        </w:rPr>
      </w:pPr>
    </w:p>
    <w:p w14:paraId="50D50153" w14:textId="77777777" w:rsidR="00745BD7" w:rsidRDefault="00386F9E" w:rsidP="00745BD7">
      <w:r>
        <w:lastRenderedPageBreak/>
        <w:fldChar w:fldCharType="end"/>
      </w:r>
      <w:r w:rsidR="00745BD7">
        <w:t>Where:</w:t>
      </w:r>
    </w:p>
    <w:p w14:paraId="16A0A0B3" w14:textId="77777777" w:rsidR="00745BD7" w:rsidRDefault="00745BD7" w:rsidP="00745BD7"/>
    <w:p w14:paraId="2B41BACF" w14:textId="77777777" w:rsidR="00745BD7" w:rsidRDefault="00745BD7" w:rsidP="00745BD7">
      <w:pPr>
        <w:ind w:left="1872" w:hanging="1248"/>
      </w:pPr>
      <w:r>
        <w:t>BE</w:t>
      </w:r>
      <w:r>
        <w:rPr>
          <w:vertAlign w:val="subscript"/>
        </w:rPr>
        <w:t>b,CO2,y</w:t>
      </w:r>
      <w:r>
        <w:tab/>
        <w:t>Cumulative baseline CO</w:t>
      </w:r>
      <w:r>
        <w:rPr>
          <w:vertAlign w:val="subscript"/>
        </w:rPr>
        <w:t>2</w:t>
      </w:r>
      <w:r>
        <w:t xml:space="preserve"> emissions from the use non-renewable biomass and fossil  fuels at households during year y</w:t>
      </w:r>
    </w:p>
    <w:p w14:paraId="13A8717E" w14:textId="77777777" w:rsidR="00745BD7" w:rsidRDefault="00745BD7" w:rsidP="00745BD7">
      <w:pPr>
        <w:ind w:left="1872" w:hanging="1248"/>
      </w:pPr>
    </w:p>
    <w:p w14:paraId="40169D87" w14:textId="77777777" w:rsidR="00745BD7" w:rsidRDefault="00745BD7" w:rsidP="00745BD7">
      <w:pPr>
        <w:ind w:left="1872" w:hanging="1248"/>
      </w:pPr>
      <w:r>
        <w:t>BB</w:t>
      </w:r>
      <w:r>
        <w:rPr>
          <w:vertAlign w:val="subscript"/>
        </w:rPr>
        <w:t>b,fuel</w:t>
      </w:r>
      <w:r>
        <w:tab/>
        <w:t>The quantity of fossil fuel consumed in the baseline scenario, in tonnes/year</w:t>
      </w:r>
    </w:p>
    <w:p w14:paraId="3EA62B12" w14:textId="77777777" w:rsidR="00745BD7" w:rsidRDefault="00745BD7" w:rsidP="00745BD7">
      <w:pPr>
        <w:ind w:left="1872" w:hanging="1248"/>
      </w:pPr>
    </w:p>
    <w:p w14:paraId="07CF2204" w14:textId="77777777" w:rsidR="00745BD7" w:rsidRDefault="00745BD7" w:rsidP="00745BD7">
      <w:pPr>
        <w:ind w:left="1872" w:hanging="1248"/>
      </w:pPr>
      <w:r>
        <w:t>NCV</w:t>
      </w:r>
      <w:r>
        <w:rPr>
          <w:vertAlign w:val="subscript"/>
        </w:rPr>
        <w:t>fuel</w:t>
      </w:r>
      <w:r>
        <w:tab/>
        <w:t>Net calorific value of fossil fuel, in TJ/tonne</w:t>
      </w:r>
    </w:p>
    <w:p w14:paraId="3058AA14" w14:textId="77777777" w:rsidR="00745BD7" w:rsidRDefault="00745BD7" w:rsidP="00745BD7">
      <w:pPr>
        <w:ind w:left="1872" w:hanging="1248"/>
      </w:pPr>
    </w:p>
    <w:p w14:paraId="548184B3" w14:textId="77777777" w:rsidR="00745BD7" w:rsidRDefault="00745BD7" w:rsidP="00745BD7">
      <w:pPr>
        <w:ind w:left="1872" w:hanging="1248"/>
      </w:pPr>
      <w:r>
        <w:t>EF</w:t>
      </w:r>
      <w:r>
        <w:rPr>
          <w:vertAlign w:val="subscript"/>
        </w:rPr>
        <w:t>b,fuel</w:t>
      </w:r>
      <w:r>
        <w:tab/>
        <w:t>CO</w:t>
      </w:r>
      <w:r>
        <w:rPr>
          <w:vertAlign w:val="subscript"/>
        </w:rPr>
        <w:t>2</w:t>
      </w:r>
      <w:r>
        <w:t xml:space="preserve"> emission factor of fossil fuel in baseline scenario, in tonnes/TJ</w:t>
      </w:r>
    </w:p>
    <w:p w14:paraId="07CCB327" w14:textId="77777777" w:rsidR="00745BD7" w:rsidRDefault="00745BD7" w:rsidP="00745BD7">
      <w:pPr>
        <w:ind w:left="1872" w:hanging="1248"/>
      </w:pPr>
    </w:p>
    <w:p w14:paraId="530196C4" w14:textId="77777777" w:rsidR="00745BD7" w:rsidRDefault="00745BD7" w:rsidP="00745BD7">
      <w:pPr>
        <w:ind w:left="1872" w:hanging="1248"/>
      </w:pPr>
      <w:r>
        <w:t>BB</w:t>
      </w:r>
      <w:r>
        <w:rPr>
          <w:vertAlign w:val="subscript"/>
        </w:rPr>
        <w:t>b,bio</w:t>
      </w:r>
      <w:r>
        <w:tab/>
        <w:t>The quantity of biomass consumed in the baseline scenario, in tonnes/year</w:t>
      </w:r>
    </w:p>
    <w:p w14:paraId="7F01AE7F" w14:textId="77777777" w:rsidR="00745BD7" w:rsidRDefault="00745BD7" w:rsidP="00745BD7">
      <w:pPr>
        <w:ind w:left="1872" w:hanging="1248"/>
      </w:pPr>
    </w:p>
    <w:p w14:paraId="7E904168" w14:textId="77777777" w:rsidR="00745BD7" w:rsidRDefault="00745BD7" w:rsidP="00745BD7">
      <w:pPr>
        <w:ind w:left="1872" w:hanging="1248"/>
      </w:pPr>
      <w:r>
        <w:t>NCV</w:t>
      </w:r>
      <w:r>
        <w:rPr>
          <w:vertAlign w:val="subscript"/>
        </w:rPr>
        <w:t>bio</w:t>
      </w:r>
      <w:r>
        <w:tab/>
        <w:t>Net calorific value of biomass, in TJ/tonne</w:t>
      </w:r>
    </w:p>
    <w:p w14:paraId="7F2A3BF9" w14:textId="77777777" w:rsidR="00745BD7" w:rsidRDefault="00745BD7" w:rsidP="00745BD7">
      <w:pPr>
        <w:ind w:left="1872" w:hanging="1248"/>
      </w:pPr>
    </w:p>
    <w:p w14:paraId="124BAFC7" w14:textId="77777777" w:rsidR="00745BD7" w:rsidRDefault="00745BD7" w:rsidP="00745BD7">
      <w:pPr>
        <w:ind w:left="1872" w:hanging="1248"/>
      </w:pPr>
      <w:r>
        <w:t>EF</w:t>
      </w:r>
      <w:r>
        <w:rPr>
          <w:vertAlign w:val="subscript"/>
        </w:rPr>
        <w:t>b,bio</w:t>
      </w:r>
      <w:r>
        <w:tab/>
        <w:t>CO</w:t>
      </w:r>
      <w:r>
        <w:rPr>
          <w:vertAlign w:val="subscript"/>
        </w:rPr>
        <w:t>2</w:t>
      </w:r>
      <w:r>
        <w:t xml:space="preserve"> emission factor of biomass in baseline scenario, in tonnes/TJ</w:t>
      </w:r>
    </w:p>
    <w:p w14:paraId="7CA3238E" w14:textId="77777777" w:rsidR="00745BD7" w:rsidRDefault="00745BD7" w:rsidP="00745BD7">
      <w:pPr>
        <w:ind w:left="1872" w:hanging="1248"/>
      </w:pPr>
    </w:p>
    <w:p w14:paraId="1997FC9E" w14:textId="77777777" w:rsidR="00745BD7" w:rsidRDefault="00745BD7" w:rsidP="00745BD7">
      <w:pPr>
        <w:ind w:left="1872" w:hanging="1248"/>
      </w:pPr>
      <w:r>
        <w:rPr>
          <w:i/>
        </w:rPr>
        <w:t>f</w:t>
      </w:r>
      <w:r>
        <w:rPr>
          <w:vertAlign w:val="subscript"/>
        </w:rPr>
        <w:t>NRB</w:t>
      </w:r>
      <w:r>
        <w:tab/>
        <w:t>Fraction of non-renewable biomass, in percentage</w:t>
      </w:r>
    </w:p>
    <w:p w14:paraId="76C300F4" w14:textId="77777777" w:rsidR="00745BD7" w:rsidRDefault="00745BD7" w:rsidP="00745BD7">
      <w:pPr>
        <w:ind w:left="1872" w:hanging="1248"/>
        <w:rPr>
          <w:highlight w:val="yellow"/>
        </w:rPr>
      </w:pPr>
    </w:p>
    <w:p w14:paraId="32087C64" w14:textId="77777777" w:rsidR="00745BD7" w:rsidRDefault="00745BD7" w:rsidP="00745BD7">
      <w:pPr>
        <w:rPr>
          <w:rFonts w:cs="Arial"/>
        </w:rPr>
      </w:pPr>
    </w:p>
    <w:p w14:paraId="0A98C39A" w14:textId="77777777" w:rsidR="00745BD7" w:rsidRDefault="00745BD7" w:rsidP="00745BD7">
      <w:r>
        <w:rPr>
          <w:u w:val="single"/>
        </w:rPr>
        <w:t>Project emissions:</w:t>
      </w:r>
    </w:p>
    <w:p w14:paraId="2194920F" w14:textId="77777777" w:rsidR="00745BD7" w:rsidRDefault="00745BD7" w:rsidP="00745BD7">
      <w:r>
        <w:t>The project scenario is defined by the fuel consumption of end users within the targeted population that adopts the biodigester technology. This formula calculates the project emissions per household:</w:t>
      </w:r>
    </w:p>
    <w:p w14:paraId="5BB41C3E" w14:textId="77777777" w:rsidR="00745BD7" w:rsidRDefault="00386F9E" w:rsidP="00745BD7">
      <w:r>
        <w:fldChar w:fldCharType="begin"/>
      </w:r>
      <w:r w:rsidR="00745BD7">
        <w:instrText xml:space="preserve"> QUOTE </w:instrText>
      </w:r>
      <w:r w:rsidR="00745BD7" w:rsidRPr="001E0142">
        <w:rPr>
          <w:rFonts w:ascii="Cambria Math" w:eastAsia="Calibri" w:hAnsi="Cambria Math"/>
          <w:szCs w:val="24"/>
          <w:lang w:val="de-DE"/>
        </w:rPr>
        <w:instrText>PECO2,y</w:instrText>
      </w:r>
      <w:r w:rsidR="00745BD7" w:rsidRPr="00745BD7">
        <w:rPr>
          <w:rFonts w:ascii="Cambria Math" w:eastAsia="Calibri" w:hAnsi="Cambria Math"/>
          <w:szCs w:val="24"/>
          <w:lang w:val="de-DE"/>
        </w:rPr>
        <w:instrText xml:space="preserve">= </w:instrText>
      </w:r>
      <w:r w:rsidR="00745BD7" w:rsidRPr="001E0142">
        <w:rPr>
          <w:rFonts w:ascii="Cambria Math" w:eastAsia="Calibri" w:hAnsi="Cambria Math"/>
          <w:szCs w:val="24"/>
          <w:lang w:val="de-DE"/>
        </w:rPr>
        <w:instrText>Up</w:instrText>
      </w:r>
      <w:r w:rsidR="00745BD7" w:rsidRPr="001E0142">
        <w:rPr>
          <w:rFonts w:ascii="Cambria Math" w:eastAsia="Calibri" w:hAnsi="Cambria Math"/>
        </w:rPr>
        <w:instrText>1</w:instrText>
      </w:r>
      <w:r w:rsidR="00745BD7" w:rsidRPr="001E0142">
        <w:rPr>
          <w:rFonts w:ascii="Cambria Math" w:eastAsia="Calibri" w:hAnsi="Cambria Math"/>
          <w:szCs w:val="24"/>
          <w:lang w:val="de-DE"/>
        </w:rPr>
        <w:instrText>,y</w:instrText>
      </w:r>
      <w:r w:rsidR="00745BD7" w:rsidRPr="00745BD7">
        <w:rPr>
          <w:rFonts w:ascii="Cambria Math" w:eastAsia="Calibri" w:hAnsi="Cambria Math"/>
          <w:szCs w:val="24"/>
          <w:lang w:val="de-DE"/>
        </w:rPr>
        <w:instrText>*</w:instrText>
      </w:r>
      <w:r w:rsidR="00745BD7" w:rsidRPr="001E0142">
        <w:rPr>
          <w:rFonts w:ascii="Cambria Math" w:eastAsia="Calibri" w:hAnsi="Cambria Math"/>
          <w:szCs w:val="24"/>
          <w:lang w:val="de-DE"/>
        </w:rPr>
        <w:instrText>( BB</w:instrText>
      </w:r>
      <w:r w:rsidR="00745BD7" w:rsidRPr="001E0142">
        <w:rPr>
          <w:rFonts w:ascii="Cambria Math" w:eastAsia="Calibri" w:hAnsi="Cambria Math"/>
        </w:rPr>
        <w:instrText>p</w:instrText>
      </w:r>
      <w:r w:rsidR="00745BD7" w:rsidRPr="001E0142">
        <w:rPr>
          <w:rFonts w:ascii="Cambria Math" w:eastAsia="Calibri" w:hAnsi="Cambria Math"/>
          <w:szCs w:val="24"/>
          <w:lang w:val="de-DE"/>
        </w:rPr>
        <w:instrText>1,fuel</w:instrText>
      </w:r>
      <w:r w:rsidR="00745BD7" w:rsidRPr="00745BD7">
        <w:rPr>
          <w:rFonts w:ascii="Cambria Math" w:eastAsia="Calibri" w:hAnsi="Cambria Math"/>
          <w:szCs w:val="24"/>
          <w:lang w:val="de-DE"/>
        </w:rPr>
        <w:instrText xml:space="preserve">* </w:instrText>
      </w:r>
      <w:r w:rsidR="00745BD7" w:rsidRPr="001E0142">
        <w:rPr>
          <w:rFonts w:ascii="Cambria Math" w:eastAsia="Calibri" w:hAnsi="Cambria Math"/>
          <w:szCs w:val="24"/>
          <w:lang w:val="de-DE"/>
        </w:rPr>
        <w:instrText xml:space="preserve">NCVfuel </w:instrText>
      </w:r>
      <w:r w:rsidR="00745BD7" w:rsidRPr="00745BD7">
        <w:rPr>
          <w:rFonts w:ascii="Cambria Math" w:eastAsia="Calibri" w:hAnsi="Cambria Math"/>
          <w:szCs w:val="24"/>
          <w:lang w:val="de-DE"/>
        </w:rPr>
        <w:instrText xml:space="preserve">* </w:instrText>
      </w:r>
      <w:r w:rsidR="00745BD7" w:rsidRPr="001E0142">
        <w:rPr>
          <w:rFonts w:ascii="Cambria Math" w:eastAsia="Calibri" w:hAnsi="Cambria Math"/>
          <w:szCs w:val="24"/>
          <w:lang w:val="de-DE"/>
        </w:rPr>
        <w:instrText>EFp</w:instrText>
      </w:r>
      <w:r w:rsidR="00745BD7" w:rsidRPr="001E0142">
        <w:rPr>
          <w:rFonts w:ascii="Cambria Math" w:eastAsia="Calibri" w:hAnsi="Cambria Math"/>
        </w:rPr>
        <w:instrText>1</w:instrText>
      </w:r>
      <w:r w:rsidR="00745BD7" w:rsidRPr="001E0142">
        <w:rPr>
          <w:rFonts w:ascii="Cambria Math" w:eastAsia="Calibri" w:hAnsi="Cambria Math"/>
          <w:szCs w:val="24"/>
          <w:lang w:val="de-DE"/>
        </w:rPr>
        <w:instrText>,fuel</w:instrText>
      </w:r>
      <w:r w:rsidR="00745BD7" w:rsidRPr="00745BD7">
        <w:rPr>
          <w:rFonts w:ascii="Cambria Math" w:eastAsia="Calibri" w:hAnsi="Cambria Math"/>
          <w:szCs w:val="24"/>
          <w:lang w:val="de-DE"/>
        </w:rPr>
        <w:instrText xml:space="preserve"> )+( </w:instrText>
      </w:r>
      <w:r w:rsidR="00745BD7" w:rsidRPr="001E0142">
        <w:rPr>
          <w:rFonts w:ascii="Cambria Math" w:eastAsia="Calibri" w:hAnsi="Cambria Math"/>
          <w:szCs w:val="24"/>
          <w:lang w:val="de-DE"/>
        </w:rPr>
        <w:instrText>BB</w:instrText>
      </w:r>
      <w:r w:rsidR="00745BD7" w:rsidRPr="001E0142">
        <w:rPr>
          <w:rFonts w:ascii="Cambria Math" w:eastAsia="Calibri" w:hAnsi="Cambria Math"/>
        </w:rPr>
        <w:instrText>p</w:instrText>
      </w:r>
      <w:r w:rsidR="00745BD7" w:rsidRPr="001E0142">
        <w:rPr>
          <w:rFonts w:ascii="Cambria Math" w:eastAsia="Calibri" w:hAnsi="Cambria Math"/>
          <w:szCs w:val="24"/>
          <w:lang w:val="de-DE"/>
        </w:rPr>
        <w:instrText>1,bio</w:instrText>
      </w:r>
      <w:r w:rsidR="00745BD7" w:rsidRPr="00745BD7">
        <w:rPr>
          <w:rFonts w:ascii="Cambria Math" w:eastAsia="Calibri" w:hAnsi="Cambria Math"/>
          <w:szCs w:val="24"/>
          <w:lang w:val="de-DE"/>
        </w:rPr>
        <w:instrText>*</w:instrText>
      </w:r>
      <w:r w:rsidR="00745BD7" w:rsidRPr="001E0142">
        <w:rPr>
          <w:rFonts w:ascii="Cambria Math" w:eastAsia="Calibri" w:hAnsi="Cambria Math"/>
          <w:szCs w:val="24"/>
          <w:lang w:val="de-DE"/>
        </w:rPr>
        <w:instrText xml:space="preserve">NCVbio </w:instrText>
      </w:r>
      <w:r w:rsidR="00745BD7" w:rsidRPr="00745BD7">
        <w:rPr>
          <w:rFonts w:ascii="Cambria Math" w:eastAsia="Calibri" w:hAnsi="Cambria Math"/>
          <w:szCs w:val="24"/>
          <w:lang w:val="de-DE"/>
        </w:rPr>
        <w:instrText xml:space="preserve">* </w:instrText>
      </w:r>
      <w:r w:rsidR="00745BD7" w:rsidRPr="001E0142">
        <w:rPr>
          <w:rFonts w:ascii="Cambria Math" w:eastAsia="Calibri" w:hAnsi="Cambria Math"/>
          <w:szCs w:val="24"/>
          <w:lang w:val="de-DE"/>
        </w:rPr>
        <w:instrText>EFp</w:instrText>
      </w:r>
      <w:r w:rsidR="00745BD7" w:rsidRPr="001E0142">
        <w:rPr>
          <w:rFonts w:ascii="Cambria Math" w:eastAsia="Calibri" w:hAnsi="Cambria Math"/>
        </w:rPr>
        <w:instrText>1</w:instrText>
      </w:r>
      <w:r w:rsidR="00745BD7" w:rsidRPr="001E0142">
        <w:rPr>
          <w:rFonts w:ascii="Cambria Math" w:eastAsia="Calibri" w:hAnsi="Cambria Math"/>
          <w:szCs w:val="24"/>
          <w:lang w:val="de-DE"/>
        </w:rPr>
        <w:instrText>,bio</w:instrText>
      </w:r>
      <w:r w:rsidR="00745BD7" w:rsidRPr="00745BD7">
        <w:rPr>
          <w:rFonts w:ascii="Cambria Math" w:eastAsia="Calibri" w:hAnsi="Cambria Math"/>
          <w:szCs w:val="24"/>
          <w:lang w:val="de-DE"/>
        </w:rPr>
        <w:instrText xml:space="preserve">* </w:instrText>
      </w:r>
      <w:r w:rsidR="00745BD7" w:rsidRPr="001E0142">
        <w:rPr>
          <w:rFonts w:ascii="Cambria Math" w:eastAsia="Calibri" w:hAnsi="Cambria Math"/>
          <w:szCs w:val="24"/>
          <w:lang w:val="de-DE"/>
        </w:rPr>
        <w:instrText>fNRB</w:instrText>
      </w:r>
      <w:r w:rsidR="00745BD7" w:rsidRPr="00745BD7">
        <w:rPr>
          <w:rFonts w:ascii="Cambria Math" w:eastAsia="Calibri" w:hAnsi="Cambria Math"/>
          <w:szCs w:val="24"/>
          <w:lang w:val="de-DE"/>
        </w:rPr>
        <w:instrText>)</w:instrText>
      </w:r>
      <w:r w:rsidR="00745BD7">
        <w:rPr>
          <w:lang w:val="de-DE"/>
        </w:rPr>
        <w:instrText xml:space="preserve"> </w:instrText>
      </w:r>
      <w:r>
        <w:fldChar w:fldCharType="separate"/>
      </w:r>
    </w:p>
    <w:p w14:paraId="27AC6BB7" w14:textId="77777777" w:rsidR="00745BD7" w:rsidRDefault="00B964EE" w:rsidP="00745BD7">
      <m:oMath>
        <m:sSub>
          <m:sSubPr>
            <m:ctrlPr>
              <w:rPr>
                <w:rFonts w:ascii="Cambria Math" w:eastAsia="Calibri" w:hAnsi="Cambria Math"/>
                <w:b/>
                <w:szCs w:val="24"/>
                <w:lang w:val="de-DE"/>
              </w:rPr>
            </m:ctrlPr>
          </m:sSubPr>
          <m:e>
            <m:r>
              <m:rPr>
                <m:sty m:val="p"/>
              </m:rPr>
              <w:rPr>
                <w:rFonts w:ascii="Cambria Math" w:eastAsia="Calibri" w:hAnsi="Cambria Math"/>
                <w:szCs w:val="24"/>
                <w:lang w:val="de-DE"/>
              </w:rPr>
              <m:t>PE</m:t>
            </m:r>
          </m:e>
          <m:sub>
            <m:r>
              <m:rPr>
                <m:sty m:val="p"/>
              </m:rPr>
              <w:rPr>
                <w:rFonts w:ascii="Cambria Math" w:eastAsia="Calibri" w:hAnsi="Cambria Math"/>
                <w:szCs w:val="24"/>
                <w:lang w:val="de-DE"/>
              </w:rPr>
              <m:t>p1,CO2,y</m:t>
            </m:r>
          </m:sub>
        </m:sSub>
        <m:r>
          <m:rPr>
            <m:sty m:val="p"/>
          </m:rPr>
          <w:rPr>
            <w:rFonts w:ascii="Cambria Math" w:eastAsia="Calibri" w:hAnsi="Cambria Math"/>
            <w:szCs w:val="24"/>
            <w:lang w:val="de-DE"/>
          </w:rPr>
          <m:t xml:space="preserve">= </m:t>
        </m:r>
        <m:nary>
          <m:naryPr>
            <m:chr m:val="∑"/>
            <m:limLoc m:val="undOvr"/>
            <m:subHide m:val="1"/>
            <m:supHide m:val="1"/>
            <m:ctrlPr>
              <w:rPr>
                <w:rFonts w:ascii="Cambria Math" w:eastAsia="Calibri" w:hAnsi="Cambria Math"/>
                <w:szCs w:val="24"/>
                <w:lang w:val="de-DE"/>
              </w:rPr>
            </m:ctrlPr>
          </m:naryPr>
          <m:sub/>
          <m:sup/>
          <m:e>
            <m:r>
              <m:rPr>
                <m:sty m:val="p"/>
              </m:rPr>
              <w:rPr>
                <w:rFonts w:ascii="Cambria Math" w:eastAsia="Calibri" w:hAnsi="Cambria Math"/>
                <w:szCs w:val="24"/>
                <w:lang w:val="de-DE"/>
              </w:rPr>
              <m:t xml:space="preserve">( </m:t>
            </m:r>
            <m:sSub>
              <m:sSubPr>
                <m:ctrlPr>
                  <w:rPr>
                    <w:rFonts w:ascii="Cambria Math" w:eastAsia="Calibri" w:hAnsi="Cambria Math"/>
                    <w:i/>
                    <w:szCs w:val="24"/>
                    <w:lang w:val="de-DE"/>
                  </w:rPr>
                </m:ctrlPr>
              </m:sSubPr>
              <m:e>
                <m:r>
                  <m:rPr>
                    <m:sty m:val="p"/>
                  </m:rPr>
                  <w:rPr>
                    <w:rFonts w:ascii="Cambria Math" w:eastAsia="Calibri" w:hAnsi="Cambria Math"/>
                    <w:szCs w:val="24"/>
                    <w:lang w:val="de-DE"/>
                  </w:rPr>
                  <m:t>BB</m:t>
                </m:r>
              </m:e>
              <m:sub>
                <m:r>
                  <m:rPr>
                    <m:sty m:val="p"/>
                  </m:rPr>
                  <w:rPr>
                    <w:rFonts w:ascii="Cambria Math" w:eastAsia="Calibri" w:hAnsi="Cambria Math"/>
                  </w:rPr>
                  <m:t>p</m:t>
                </m:r>
                <m:r>
                  <m:rPr>
                    <m:sty m:val="p"/>
                  </m:rPr>
                  <w:rPr>
                    <w:rFonts w:ascii="Cambria Math" w:eastAsia="Calibri" w:hAnsi="Cambria Math"/>
                    <w:szCs w:val="24"/>
                    <w:lang w:val="de-DE"/>
                  </w:rPr>
                  <m:t>1,fuel</m:t>
                </m:r>
              </m:sub>
            </m:sSub>
          </m:e>
        </m:nary>
        <m:r>
          <m:rPr>
            <m:sty m:val="p"/>
          </m:rPr>
          <w:rPr>
            <w:rFonts w:ascii="Cambria Math" w:eastAsia="Calibri" w:hAnsi="Cambria Math"/>
            <w:szCs w:val="24"/>
            <w:lang w:val="de-DE"/>
          </w:rPr>
          <m:t xml:space="preserve">* </m:t>
        </m:r>
        <m:sSub>
          <m:sSubPr>
            <m:ctrlPr>
              <w:rPr>
                <w:rFonts w:ascii="Cambria Math" w:eastAsia="Calibri" w:hAnsi="Cambria Math"/>
                <w:szCs w:val="24"/>
                <w:lang w:val="de-DE"/>
              </w:rPr>
            </m:ctrlPr>
          </m:sSubPr>
          <m:e>
            <m:r>
              <m:rPr>
                <m:sty m:val="p"/>
              </m:rPr>
              <w:rPr>
                <w:rFonts w:ascii="Cambria Math" w:eastAsia="Calibri" w:hAnsi="Cambria Math"/>
                <w:szCs w:val="24"/>
                <w:lang w:val="de-DE"/>
              </w:rPr>
              <m:t>NCV</m:t>
            </m:r>
          </m:e>
          <m:sub>
            <m:r>
              <m:rPr>
                <m:sty m:val="p"/>
              </m:rPr>
              <w:rPr>
                <w:rFonts w:ascii="Cambria Math" w:eastAsia="Calibri" w:hAnsi="Cambria Math"/>
                <w:szCs w:val="24"/>
                <w:lang w:val="de-DE"/>
              </w:rPr>
              <m:t xml:space="preserve">fuel </m:t>
            </m:r>
          </m:sub>
        </m:sSub>
        <m:r>
          <m:rPr>
            <m:sty m:val="p"/>
          </m:rPr>
          <w:rPr>
            <w:rFonts w:ascii="Cambria Math" w:eastAsia="Calibri" w:hAnsi="Cambria Math"/>
            <w:szCs w:val="24"/>
            <w:lang w:val="de-DE"/>
          </w:rPr>
          <m:t xml:space="preserve">* </m:t>
        </m:r>
        <m:sSub>
          <m:sSubPr>
            <m:ctrlPr>
              <w:rPr>
                <w:rFonts w:ascii="Cambria Math" w:eastAsia="Calibri" w:hAnsi="Cambria Math"/>
                <w:szCs w:val="24"/>
                <w:lang w:val="de-DE"/>
              </w:rPr>
            </m:ctrlPr>
          </m:sSubPr>
          <m:e>
            <m:r>
              <m:rPr>
                <m:sty m:val="p"/>
              </m:rPr>
              <w:rPr>
                <w:rFonts w:ascii="Cambria Math" w:eastAsia="Calibri" w:hAnsi="Cambria Math"/>
                <w:szCs w:val="24"/>
                <w:lang w:val="de-DE"/>
              </w:rPr>
              <m:t>EF</m:t>
            </m:r>
          </m:e>
          <m:sub>
            <m:r>
              <m:rPr>
                <m:sty m:val="p"/>
              </m:rPr>
              <w:rPr>
                <w:rFonts w:ascii="Cambria Math" w:eastAsia="Calibri" w:hAnsi="Cambria Math"/>
                <w:szCs w:val="24"/>
                <w:lang w:val="de-DE"/>
              </w:rPr>
              <m:t>p</m:t>
            </m:r>
            <m:r>
              <m:rPr>
                <m:sty m:val="p"/>
              </m:rPr>
              <w:rPr>
                <w:rFonts w:ascii="Cambria Math" w:eastAsia="Calibri" w:hAnsi="Cambria Math"/>
              </w:rPr>
              <m:t>1</m:t>
            </m:r>
            <m:r>
              <m:rPr>
                <m:sty m:val="p"/>
              </m:rPr>
              <w:rPr>
                <w:rFonts w:ascii="Cambria Math" w:eastAsia="Calibri" w:hAnsi="Cambria Math"/>
                <w:szCs w:val="24"/>
                <w:lang w:val="de-DE"/>
              </w:rPr>
              <m:t>,fuel</m:t>
            </m:r>
          </m:sub>
        </m:sSub>
        <m:r>
          <m:rPr>
            <m:sty m:val="p"/>
          </m:rPr>
          <w:rPr>
            <w:rFonts w:ascii="Cambria Math" w:eastAsia="Calibri" w:hAnsi="Cambria Math"/>
            <w:szCs w:val="24"/>
            <w:lang w:val="de-DE"/>
          </w:rPr>
          <m:t xml:space="preserve"> )+( </m:t>
        </m:r>
        <m:sSub>
          <m:sSubPr>
            <m:ctrlPr>
              <w:rPr>
                <w:rFonts w:ascii="Cambria Math" w:eastAsia="Calibri" w:hAnsi="Cambria Math"/>
                <w:i/>
                <w:szCs w:val="24"/>
                <w:lang w:val="de-DE"/>
              </w:rPr>
            </m:ctrlPr>
          </m:sSubPr>
          <m:e>
            <m:r>
              <m:rPr>
                <m:sty m:val="p"/>
              </m:rPr>
              <w:rPr>
                <w:rFonts w:ascii="Cambria Math" w:eastAsia="Calibri" w:hAnsi="Cambria Math"/>
                <w:szCs w:val="24"/>
                <w:lang w:val="de-DE"/>
              </w:rPr>
              <m:t>BB</m:t>
            </m:r>
          </m:e>
          <m:sub>
            <m:r>
              <m:rPr>
                <m:sty m:val="p"/>
              </m:rPr>
              <w:rPr>
                <w:rFonts w:ascii="Cambria Math" w:eastAsia="Calibri" w:hAnsi="Cambria Math"/>
              </w:rPr>
              <m:t>p</m:t>
            </m:r>
            <m:r>
              <m:rPr>
                <m:sty m:val="p"/>
              </m:rPr>
              <w:rPr>
                <w:rFonts w:ascii="Cambria Math" w:eastAsia="Calibri" w:hAnsi="Cambria Math"/>
                <w:szCs w:val="24"/>
                <w:lang w:val="de-DE"/>
              </w:rPr>
              <m:t>1,bio</m:t>
            </m:r>
          </m:sub>
        </m:sSub>
        <m:r>
          <m:rPr>
            <m:sty m:val="p"/>
          </m:rPr>
          <w:rPr>
            <w:rFonts w:ascii="Cambria Math" w:eastAsia="Calibri" w:hAnsi="Cambria Math"/>
            <w:szCs w:val="24"/>
            <w:lang w:val="de-DE"/>
          </w:rPr>
          <m:t>*</m:t>
        </m:r>
        <m:sSub>
          <m:sSubPr>
            <m:ctrlPr>
              <w:rPr>
                <w:rFonts w:ascii="Cambria Math" w:eastAsia="Calibri" w:hAnsi="Cambria Math"/>
                <w:i/>
                <w:szCs w:val="24"/>
                <w:lang w:val="de-DE"/>
              </w:rPr>
            </m:ctrlPr>
          </m:sSubPr>
          <m:e>
            <m:r>
              <m:rPr>
                <m:sty m:val="p"/>
              </m:rPr>
              <w:rPr>
                <w:rFonts w:ascii="Cambria Math" w:eastAsia="Calibri" w:hAnsi="Cambria Math"/>
                <w:szCs w:val="24"/>
                <w:lang w:val="de-DE"/>
              </w:rPr>
              <m:t>NCV</m:t>
            </m:r>
          </m:e>
          <m:sub>
            <m:r>
              <m:rPr>
                <m:sty m:val="p"/>
              </m:rPr>
              <w:rPr>
                <w:rFonts w:ascii="Cambria Math" w:eastAsia="Calibri" w:hAnsi="Cambria Math"/>
                <w:szCs w:val="24"/>
                <w:lang w:val="de-DE"/>
              </w:rPr>
              <m:t xml:space="preserve">bio </m:t>
            </m:r>
          </m:sub>
        </m:sSub>
        <m:r>
          <m:rPr>
            <m:sty m:val="p"/>
          </m:rPr>
          <w:rPr>
            <w:rFonts w:ascii="Cambria Math" w:eastAsia="Calibri" w:hAnsi="Cambria Math"/>
            <w:szCs w:val="24"/>
            <w:lang w:val="de-DE"/>
          </w:rPr>
          <m:t xml:space="preserve">* </m:t>
        </m:r>
        <m:sSub>
          <m:sSubPr>
            <m:ctrlPr>
              <w:rPr>
                <w:rFonts w:ascii="Cambria Math" w:eastAsia="Calibri" w:hAnsi="Cambria Math"/>
                <w:i/>
                <w:szCs w:val="24"/>
                <w:lang w:val="de-DE"/>
              </w:rPr>
            </m:ctrlPr>
          </m:sSubPr>
          <m:e>
            <m:r>
              <m:rPr>
                <m:sty m:val="p"/>
              </m:rPr>
              <w:rPr>
                <w:rFonts w:ascii="Cambria Math" w:eastAsia="Calibri" w:hAnsi="Cambria Math"/>
                <w:szCs w:val="24"/>
                <w:lang w:val="de-DE"/>
              </w:rPr>
              <m:t>EF</m:t>
            </m:r>
          </m:e>
          <m:sub>
            <m:r>
              <m:rPr>
                <m:sty m:val="p"/>
              </m:rPr>
              <w:rPr>
                <w:rFonts w:ascii="Cambria Math" w:eastAsia="Calibri" w:hAnsi="Cambria Math"/>
                <w:szCs w:val="24"/>
                <w:lang w:val="de-DE"/>
              </w:rPr>
              <m:t>p</m:t>
            </m:r>
            <m:r>
              <m:rPr>
                <m:sty m:val="p"/>
              </m:rPr>
              <w:rPr>
                <w:rFonts w:ascii="Cambria Math" w:eastAsia="Calibri" w:hAnsi="Cambria Math"/>
              </w:rPr>
              <m:t>1</m:t>
            </m:r>
            <m:r>
              <m:rPr>
                <m:sty m:val="p"/>
              </m:rPr>
              <w:rPr>
                <w:rFonts w:ascii="Cambria Math" w:eastAsia="Calibri" w:hAnsi="Cambria Math"/>
                <w:szCs w:val="24"/>
                <w:lang w:val="de-DE"/>
              </w:rPr>
              <m:t>,bio</m:t>
            </m:r>
          </m:sub>
        </m:sSub>
        <m:r>
          <m:rPr>
            <m:sty m:val="p"/>
          </m:rPr>
          <w:rPr>
            <w:rFonts w:ascii="Cambria Math" w:eastAsia="Calibri" w:hAnsi="Cambria Math"/>
            <w:szCs w:val="24"/>
            <w:lang w:val="de-DE"/>
          </w:rPr>
          <m:t xml:space="preserve">* </m:t>
        </m:r>
        <m:sSub>
          <m:sSubPr>
            <m:ctrlPr>
              <w:rPr>
                <w:rFonts w:ascii="Cambria Math" w:eastAsia="Calibri" w:hAnsi="Cambria Math"/>
                <w:i/>
                <w:szCs w:val="24"/>
                <w:lang w:val="de-DE"/>
              </w:rPr>
            </m:ctrlPr>
          </m:sSubPr>
          <m:e>
            <m:r>
              <m:rPr>
                <m:sty m:val="p"/>
              </m:rPr>
              <w:rPr>
                <w:rFonts w:ascii="Cambria Math" w:eastAsia="Calibri" w:hAnsi="Cambria Math"/>
                <w:szCs w:val="24"/>
                <w:lang w:val="de-DE"/>
              </w:rPr>
              <m:t>f</m:t>
            </m:r>
          </m:e>
          <m:sub>
            <m:r>
              <m:rPr>
                <m:sty m:val="p"/>
              </m:rPr>
              <w:rPr>
                <w:rFonts w:ascii="Cambria Math" w:eastAsia="Calibri" w:hAnsi="Cambria Math"/>
                <w:szCs w:val="24"/>
                <w:lang w:val="de-DE"/>
              </w:rPr>
              <m:t>NRB</m:t>
            </m:r>
          </m:sub>
        </m:sSub>
        <m:r>
          <m:rPr>
            <m:sty m:val="p"/>
          </m:rPr>
          <w:rPr>
            <w:rFonts w:ascii="Cambria Math" w:eastAsia="Calibri" w:hAnsi="Cambria Math"/>
            <w:szCs w:val="24"/>
            <w:lang w:val="de-DE"/>
          </w:rPr>
          <m:t>)</m:t>
        </m:r>
      </m:oMath>
      <w:r w:rsidR="00745BD7">
        <w:t xml:space="preserve">               </w:t>
      </w:r>
      <w:r w:rsidR="00745BD7">
        <w:rPr>
          <w:b/>
        </w:rPr>
        <w:t>(4)</w:t>
      </w:r>
    </w:p>
    <w:p w14:paraId="1CAD0241" w14:textId="77777777" w:rsidR="00745BD7" w:rsidRDefault="00386F9E" w:rsidP="00745BD7">
      <w:pPr>
        <w:rPr>
          <w:sz w:val="24"/>
          <w:szCs w:val="24"/>
          <w:lang w:val="de-DE"/>
        </w:rPr>
      </w:pPr>
      <w:r>
        <w:fldChar w:fldCharType="end"/>
      </w:r>
    </w:p>
    <w:p w14:paraId="343C48FD" w14:textId="77777777" w:rsidR="00745BD7" w:rsidRDefault="00745BD7" w:rsidP="00745BD7">
      <w:r>
        <w:t>Where:</w:t>
      </w:r>
    </w:p>
    <w:p w14:paraId="07C8CF6E" w14:textId="77777777" w:rsidR="00745BD7" w:rsidRDefault="00745BD7" w:rsidP="00745BD7"/>
    <w:p w14:paraId="3DCA674F" w14:textId="77777777" w:rsidR="00745BD7" w:rsidRDefault="00745BD7" w:rsidP="00745BD7">
      <w:pPr>
        <w:ind w:left="1872" w:hanging="1248"/>
      </w:pPr>
      <w:r>
        <w:t>PE</w:t>
      </w:r>
      <w:r>
        <w:rPr>
          <w:vertAlign w:val="subscript"/>
          <w:lang w:eastAsia="nl-NL"/>
        </w:rPr>
        <w:t>p1,CO2</w:t>
      </w:r>
      <w:r>
        <w:rPr>
          <w:vertAlign w:val="subscript"/>
        </w:rPr>
        <w:t>,y</w:t>
      </w:r>
      <w:r>
        <w:tab/>
        <w:t xml:space="preserve">Cumulative project </w:t>
      </w:r>
      <w:r>
        <w:rPr>
          <w:lang w:eastAsia="nl-NL"/>
        </w:rPr>
        <w:t>CO</w:t>
      </w:r>
      <w:r>
        <w:rPr>
          <w:vertAlign w:val="subscript"/>
          <w:lang w:eastAsia="nl-NL"/>
        </w:rPr>
        <w:t>2</w:t>
      </w:r>
      <w:r>
        <w:t xml:space="preserve"> emissions from the use non-renewable biomass and fossil fuels at households during year y</w:t>
      </w:r>
    </w:p>
    <w:p w14:paraId="18EA0BF5" w14:textId="77777777" w:rsidR="00745BD7" w:rsidRDefault="00745BD7" w:rsidP="00745BD7">
      <w:pPr>
        <w:ind w:left="1872" w:hanging="1248"/>
      </w:pPr>
    </w:p>
    <w:p w14:paraId="65D969B4" w14:textId="77777777" w:rsidR="00745BD7" w:rsidRDefault="00745BD7" w:rsidP="00745BD7">
      <w:pPr>
        <w:ind w:left="1872" w:hanging="1248"/>
      </w:pPr>
      <w:r>
        <w:t>BB</w:t>
      </w:r>
      <w:r>
        <w:rPr>
          <w:vertAlign w:val="subscript"/>
        </w:rPr>
        <w:t>p1,fuel</w:t>
      </w:r>
      <w:r>
        <w:tab/>
        <w:t>The quantity of fossil fuel consumed in the project scenario 1, in tonnes/year</w:t>
      </w:r>
    </w:p>
    <w:p w14:paraId="60B904F7" w14:textId="77777777" w:rsidR="00745BD7" w:rsidRDefault="00745BD7" w:rsidP="00745BD7">
      <w:pPr>
        <w:ind w:left="1872" w:hanging="1248"/>
      </w:pPr>
    </w:p>
    <w:p w14:paraId="35006B1F" w14:textId="77777777" w:rsidR="00745BD7" w:rsidRDefault="00745BD7" w:rsidP="00745BD7">
      <w:pPr>
        <w:ind w:left="1872" w:hanging="1248"/>
      </w:pPr>
      <w:r>
        <w:t>NCV</w:t>
      </w:r>
      <w:r>
        <w:rPr>
          <w:vertAlign w:val="subscript"/>
        </w:rPr>
        <w:t>fuel</w:t>
      </w:r>
      <w:r>
        <w:tab/>
        <w:t>Net calorific value of fossil fuel, in TJ/tonne</w:t>
      </w:r>
    </w:p>
    <w:p w14:paraId="6C1A539C" w14:textId="77777777" w:rsidR="00745BD7" w:rsidRDefault="00745BD7" w:rsidP="00745BD7">
      <w:pPr>
        <w:ind w:left="1872" w:hanging="1248"/>
      </w:pPr>
    </w:p>
    <w:p w14:paraId="49066F39" w14:textId="77777777" w:rsidR="00745BD7" w:rsidRDefault="00745BD7" w:rsidP="00745BD7">
      <w:pPr>
        <w:ind w:left="1872" w:hanging="1248"/>
      </w:pPr>
      <w:r>
        <w:t>EF</w:t>
      </w:r>
      <w:r>
        <w:rPr>
          <w:vertAlign w:val="subscript"/>
        </w:rPr>
        <w:t>p1,fuel</w:t>
      </w:r>
      <w:r>
        <w:tab/>
        <w:t>CO</w:t>
      </w:r>
      <w:r>
        <w:rPr>
          <w:vertAlign w:val="subscript"/>
        </w:rPr>
        <w:t>2</w:t>
      </w:r>
      <w:r>
        <w:t xml:space="preserve"> emission factor of fossil fuel in project scenario 1, in tonnes/TJ</w:t>
      </w:r>
    </w:p>
    <w:p w14:paraId="16E5B8BF" w14:textId="77777777" w:rsidR="00745BD7" w:rsidRDefault="00745BD7" w:rsidP="00745BD7">
      <w:pPr>
        <w:ind w:left="1872" w:hanging="1248"/>
      </w:pPr>
    </w:p>
    <w:p w14:paraId="05ED4577" w14:textId="77777777" w:rsidR="00745BD7" w:rsidRDefault="00745BD7" w:rsidP="00745BD7">
      <w:pPr>
        <w:ind w:left="1872" w:hanging="1248"/>
      </w:pPr>
      <w:r>
        <w:t>BB</w:t>
      </w:r>
      <w:r>
        <w:rPr>
          <w:vertAlign w:val="subscript"/>
        </w:rPr>
        <w:t>p1,bio</w:t>
      </w:r>
      <w:r>
        <w:tab/>
        <w:t>The quantity of biomass consumed in the project scenario 1, in tonnes/year</w:t>
      </w:r>
    </w:p>
    <w:p w14:paraId="7A8EA40B" w14:textId="77777777" w:rsidR="00745BD7" w:rsidRDefault="00745BD7" w:rsidP="00745BD7">
      <w:pPr>
        <w:ind w:left="1872" w:hanging="1248"/>
      </w:pPr>
    </w:p>
    <w:p w14:paraId="4D383494" w14:textId="77777777" w:rsidR="00745BD7" w:rsidRDefault="00745BD7" w:rsidP="00745BD7">
      <w:pPr>
        <w:ind w:left="1872" w:hanging="1248"/>
      </w:pPr>
      <w:r>
        <w:t>NCV</w:t>
      </w:r>
      <w:r>
        <w:rPr>
          <w:vertAlign w:val="subscript"/>
        </w:rPr>
        <w:t>bio</w:t>
      </w:r>
      <w:r>
        <w:tab/>
        <w:t>Net calorific value of biomass, in TJ/tonne</w:t>
      </w:r>
    </w:p>
    <w:p w14:paraId="0045F1E7" w14:textId="77777777" w:rsidR="00745BD7" w:rsidRDefault="00745BD7" w:rsidP="00745BD7">
      <w:pPr>
        <w:ind w:left="1872" w:hanging="1248"/>
      </w:pPr>
    </w:p>
    <w:p w14:paraId="165DE01F" w14:textId="77777777" w:rsidR="00745BD7" w:rsidRDefault="00745BD7" w:rsidP="00745BD7">
      <w:pPr>
        <w:ind w:left="1872" w:hanging="1248"/>
      </w:pPr>
      <w:r>
        <w:t>EF</w:t>
      </w:r>
      <w:r>
        <w:rPr>
          <w:vertAlign w:val="subscript"/>
        </w:rPr>
        <w:t>p1,bio</w:t>
      </w:r>
      <w:r>
        <w:tab/>
        <w:t>CO</w:t>
      </w:r>
      <w:r>
        <w:rPr>
          <w:vertAlign w:val="subscript"/>
        </w:rPr>
        <w:t>2</w:t>
      </w:r>
      <w:r>
        <w:t xml:space="preserve"> emission factor of biomass in project scenario 1in tonnes/TJ</w:t>
      </w:r>
    </w:p>
    <w:p w14:paraId="2A6BB764" w14:textId="77777777" w:rsidR="00745BD7" w:rsidRDefault="00745BD7" w:rsidP="00745BD7">
      <w:pPr>
        <w:ind w:left="1872" w:hanging="1248"/>
      </w:pPr>
    </w:p>
    <w:p w14:paraId="01674D08" w14:textId="77777777" w:rsidR="00745BD7" w:rsidRDefault="00745BD7" w:rsidP="00745BD7">
      <w:pPr>
        <w:ind w:left="1872" w:hanging="1248"/>
      </w:pPr>
      <w:r>
        <w:rPr>
          <w:i/>
        </w:rPr>
        <w:t>f</w:t>
      </w:r>
      <w:r>
        <w:rPr>
          <w:vertAlign w:val="subscript"/>
        </w:rPr>
        <w:t>NRB</w:t>
      </w:r>
      <w:r>
        <w:tab/>
        <w:t>Fraction of non-renewable biomass, in percentage</w:t>
      </w:r>
    </w:p>
    <w:p w14:paraId="7302DF74" w14:textId="77777777" w:rsidR="00745BD7" w:rsidRDefault="00745BD7" w:rsidP="00745BD7">
      <w:pPr>
        <w:rPr>
          <w:rFonts w:cs="Arial"/>
          <w:lang w:val="en-US"/>
        </w:rPr>
      </w:pPr>
    </w:p>
    <w:p w14:paraId="50436425" w14:textId="77777777" w:rsidR="00762920" w:rsidRDefault="00745BD7" w:rsidP="00757B97">
      <w:pPr>
        <w:rPr>
          <w:rFonts w:cs="Arial"/>
          <w:bCs/>
          <w:lang w:val="en-US"/>
        </w:rPr>
      </w:pPr>
      <w:r>
        <w:rPr>
          <w:rFonts w:cs="Arial"/>
          <w:lang w:val="en-US"/>
        </w:rPr>
        <w:t xml:space="preserve">Fuel usage data for the three baseline scenarios and project scenario was collected by the KPT survey, as explained above. </w:t>
      </w:r>
      <w:r>
        <w:rPr>
          <w:rFonts w:cs="Arial"/>
          <w:bCs/>
          <w:lang w:val="en-US"/>
        </w:rPr>
        <w:t xml:space="preserve">The results include the </w:t>
      </w:r>
      <w:r w:rsidR="00757B97">
        <w:rPr>
          <w:rFonts w:cs="Arial"/>
          <w:bCs/>
          <w:lang w:val="en-US"/>
        </w:rPr>
        <w:t xml:space="preserve">baseline </w:t>
      </w:r>
      <w:r>
        <w:rPr>
          <w:rFonts w:cs="Arial"/>
          <w:bCs/>
          <w:lang w:val="en-US"/>
        </w:rPr>
        <w:t>usage of firewood only (b1), charcoal only (b2) and both firewood and charcoal (b3).</w:t>
      </w:r>
    </w:p>
    <w:p w14:paraId="4465C053" w14:textId="77777777" w:rsidR="00BE6BC7" w:rsidRPr="00BE6BC7" w:rsidRDefault="00745BD7" w:rsidP="00757B97">
      <w:pPr>
        <w:rPr>
          <w:rFonts w:cs="Arial"/>
          <w:i/>
          <w:sz w:val="18"/>
        </w:rPr>
      </w:pPr>
      <w:r>
        <w:rPr>
          <w:rFonts w:cs="Arial"/>
          <w:bCs/>
          <w:lang w:val="en-US"/>
        </w:rPr>
        <w:t xml:space="preserve"> </w:t>
      </w:r>
    </w:p>
    <w:p w14:paraId="0E9004AD" w14:textId="77777777" w:rsidR="00BE6BC7" w:rsidRDefault="00BE6BC7" w:rsidP="00BE6BC7">
      <w:pPr>
        <w:rPr>
          <w:rFonts w:cs="Arial"/>
          <w:lang w:val="en-US"/>
        </w:rPr>
      </w:pPr>
      <w:r>
        <w:rPr>
          <w:rFonts w:cs="Arial"/>
          <w:lang w:val="en-US"/>
        </w:rPr>
        <w:t>The f</w:t>
      </w:r>
      <w:r>
        <w:rPr>
          <w:rFonts w:cs="Arial"/>
          <w:vertAlign w:val="subscript"/>
          <w:lang w:val="en-US"/>
        </w:rPr>
        <w:t xml:space="preserve">NRB </w:t>
      </w:r>
      <w:r>
        <w:rPr>
          <w:rFonts w:cs="Arial"/>
          <w:lang w:val="en-US"/>
        </w:rPr>
        <w:t>is estimated to be 92.0%, as per the</w:t>
      </w:r>
      <w:r w:rsidR="00757B97">
        <w:rPr>
          <w:rFonts w:cs="Arial"/>
          <w:lang w:val="en-US"/>
        </w:rPr>
        <w:t xml:space="preserve"> UNFCCC’s default fNRB values</w:t>
      </w:r>
      <w:r>
        <w:rPr>
          <w:rFonts w:cs="Arial"/>
          <w:lang w:val="en-US"/>
        </w:rPr>
        <w:t>. The f</w:t>
      </w:r>
      <w:r>
        <w:rPr>
          <w:rFonts w:cs="Arial"/>
          <w:vertAlign w:val="subscript"/>
          <w:lang w:val="en-US"/>
        </w:rPr>
        <w:t xml:space="preserve">NRB </w:t>
      </w:r>
      <w:r>
        <w:rPr>
          <w:rFonts w:cs="Arial"/>
          <w:lang w:val="en-US"/>
        </w:rPr>
        <w:t>value is applicable to CO</w:t>
      </w:r>
      <w:r>
        <w:rPr>
          <w:rFonts w:cs="Arial"/>
          <w:vertAlign w:val="subscript"/>
          <w:lang w:val="en-US"/>
        </w:rPr>
        <w:t>2</w:t>
      </w:r>
      <w:r>
        <w:rPr>
          <w:rFonts w:cs="Arial"/>
          <w:lang w:val="en-US"/>
        </w:rPr>
        <w:t xml:space="preserve"> emissions from firewood and charcoal consumption and production. Methane and nitrous oxide emission are not included in the emission reduction calculation for conservativeness. The calculated ex-post baseline emissions are shown in next table:</w:t>
      </w:r>
    </w:p>
    <w:p w14:paraId="46101021" w14:textId="77777777" w:rsidR="005E608C" w:rsidRPr="00BE6BC7" w:rsidRDefault="005E608C" w:rsidP="00991A48">
      <w:pPr>
        <w:rPr>
          <w:rFonts w:cs="Arial"/>
          <w:lang w:val="en-US" w:eastAsia="en-US"/>
        </w:rPr>
      </w:pPr>
    </w:p>
    <w:p w14:paraId="71478D10" w14:textId="77777777" w:rsidR="00757B97" w:rsidRDefault="00B53A36" w:rsidP="00B53A36">
      <w:pPr>
        <w:pStyle w:val="Caption"/>
        <w:rPr>
          <w:rFonts w:cs="Arial"/>
          <w:i/>
          <w:lang w:val="en-US"/>
        </w:rPr>
      </w:pPr>
      <w:r>
        <w:lastRenderedPageBreak/>
        <w:t xml:space="preserve">Table </w:t>
      </w:r>
      <w:r w:rsidR="00386F9E">
        <w:fldChar w:fldCharType="begin"/>
      </w:r>
      <w:r>
        <w:instrText xml:space="preserve"> SEQ Table \* ARABIC </w:instrText>
      </w:r>
      <w:r w:rsidR="00386F9E">
        <w:fldChar w:fldCharType="separate"/>
      </w:r>
      <w:r w:rsidR="00FE38F8">
        <w:rPr>
          <w:noProof/>
        </w:rPr>
        <w:t>8</w:t>
      </w:r>
      <w:r w:rsidR="00386F9E">
        <w:fldChar w:fldCharType="end"/>
      </w:r>
      <w:r>
        <w:t xml:space="preserve"> </w:t>
      </w:r>
      <w:r w:rsidR="00757B97">
        <w:rPr>
          <w:rFonts w:cs="Arial"/>
          <w:i/>
        </w:rPr>
        <w:t>Emission reductions due to the displacement of fossil fuels and non-renewable biomass</w:t>
      </w:r>
    </w:p>
    <w:tbl>
      <w:tblPr>
        <w:tblW w:w="3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80"/>
        <w:gridCol w:w="1703"/>
        <w:gridCol w:w="1987"/>
      </w:tblGrid>
      <w:tr w:rsidR="00757B97" w14:paraId="7AA29E75" w14:textId="77777777" w:rsidTr="00E246BC">
        <w:tc>
          <w:tcPr>
            <w:tcW w:w="1294" w:type="pct"/>
            <w:tcBorders>
              <w:top w:val="single" w:sz="4" w:space="0" w:color="auto"/>
              <w:left w:val="single" w:sz="4" w:space="0" w:color="auto"/>
              <w:bottom w:val="single" w:sz="4" w:space="0" w:color="auto"/>
              <w:right w:val="single" w:sz="4" w:space="0" w:color="auto"/>
            </w:tcBorders>
            <w:shd w:val="clear" w:color="auto" w:fill="D9D9D9"/>
            <w:hideMark/>
          </w:tcPr>
          <w:p w14:paraId="60FB9F2A" w14:textId="77777777" w:rsidR="00757B97" w:rsidRPr="00E246BC" w:rsidRDefault="00757B97">
            <w:pPr>
              <w:rPr>
                <w:rFonts w:cs="Arial"/>
                <w:b/>
                <w:bCs/>
                <w:lang w:val="en-US"/>
              </w:rPr>
            </w:pPr>
            <w:r w:rsidRPr="00E246BC">
              <w:rPr>
                <w:rFonts w:cs="Arial"/>
                <w:b/>
                <w:bCs/>
                <w:lang w:val="en-US"/>
              </w:rPr>
              <w:t>Baseline emissions from fuel use</w:t>
            </w:r>
          </w:p>
          <w:p w14:paraId="3015EDF1" w14:textId="77777777" w:rsidR="00757B97" w:rsidRPr="00E246BC" w:rsidRDefault="00757B97">
            <w:pPr>
              <w:rPr>
                <w:rFonts w:cs="Arial"/>
                <w:b/>
                <w:lang w:val="en-US"/>
              </w:rPr>
            </w:pPr>
            <w:r w:rsidRPr="00E246BC">
              <w:rPr>
                <w:rFonts w:cs="Arial"/>
                <w:b/>
                <w:bCs/>
                <w:lang w:val="en-US"/>
              </w:rPr>
              <w:t>(tCO</w:t>
            </w:r>
            <w:r w:rsidRPr="00E246BC">
              <w:rPr>
                <w:rFonts w:cs="Arial"/>
                <w:b/>
                <w:bCs/>
                <w:vertAlign w:val="subscript"/>
                <w:lang w:val="en-US"/>
              </w:rPr>
              <w:t>2</w:t>
            </w:r>
            <w:r w:rsidRPr="00E246BC">
              <w:rPr>
                <w:rFonts w:cs="Arial"/>
                <w:b/>
                <w:bCs/>
                <w:lang w:val="en-US"/>
              </w:rPr>
              <w:t>e/yr)</w:t>
            </w:r>
          </w:p>
        </w:tc>
        <w:tc>
          <w:tcPr>
            <w:tcW w:w="1294" w:type="pct"/>
            <w:tcBorders>
              <w:top w:val="single" w:sz="4" w:space="0" w:color="auto"/>
              <w:left w:val="single" w:sz="4" w:space="0" w:color="auto"/>
              <w:bottom w:val="single" w:sz="4" w:space="0" w:color="auto"/>
              <w:right w:val="single" w:sz="4" w:space="0" w:color="auto"/>
            </w:tcBorders>
            <w:shd w:val="clear" w:color="auto" w:fill="D9D9D9"/>
            <w:hideMark/>
          </w:tcPr>
          <w:p w14:paraId="54560EAA" w14:textId="77777777" w:rsidR="00757B97" w:rsidRPr="00E246BC" w:rsidRDefault="00757B97">
            <w:pPr>
              <w:rPr>
                <w:rFonts w:cs="Arial"/>
                <w:b/>
                <w:bCs/>
                <w:lang w:val="en-US"/>
              </w:rPr>
            </w:pPr>
            <w:r w:rsidRPr="00E246BC">
              <w:rPr>
                <w:rFonts w:cs="Arial"/>
                <w:b/>
                <w:bCs/>
                <w:lang w:val="en-US"/>
              </w:rPr>
              <w:t xml:space="preserve">Project emissions from fuel use </w:t>
            </w:r>
          </w:p>
          <w:p w14:paraId="047D80FA" w14:textId="77777777" w:rsidR="00757B97" w:rsidRPr="00E246BC" w:rsidRDefault="00757B97">
            <w:pPr>
              <w:rPr>
                <w:rFonts w:cs="Arial"/>
                <w:b/>
                <w:lang w:val="en-US"/>
              </w:rPr>
            </w:pPr>
            <w:r w:rsidRPr="00E246BC">
              <w:rPr>
                <w:rFonts w:cs="Arial"/>
                <w:b/>
                <w:bCs/>
                <w:lang w:val="en-US"/>
              </w:rPr>
              <w:t>(tCO</w:t>
            </w:r>
            <w:r w:rsidRPr="00E246BC">
              <w:rPr>
                <w:rFonts w:cs="Arial"/>
                <w:b/>
                <w:bCs/>
                <w:vertAlign w:val="subscript"/>
                <w:lang w:val="en-US"/>
              </w:rPr>
              <w:t>2</w:t>
            </w:r>
            <w:r w:rsidRPr="00E246BC">
              <w:rPr>
                <w:rFonts w:cs="Arial"/>
                <w:b/>
                <w:bCs/>
                <w:lang w:val="en-US"/>
              </w:rPr>
              <w:t>e/yr)</w:t>
            </w:r>
          </w:p>
        </w:tc>
        <w:tc>
          <w:tcPr>
            <w:tcW w:w="1113" w:type="pct"/>
            <w:tcBorders>
              <w:top w:val="single" w:sz="4" w:space="0" w:color="auto"/>
              <w:left w:val="single" w:sz="4" w:space="0" w:color="auto"/>
              <w:bottom w:val="single" w:sz="4" w:space="0" w:color="auto"/>
              <w:right w:val="single" w:sz="4" w:space="0" w:color="auto"/>
            </w:tcBorders>
            <w:shd w:val="clear" w:color="auto" w:fill="D9D9D9"/>
            <w:hideMark/>
          </w:tcPr>
          <w:p w14:paraId="5DC9BBE7" w14:textId="77777777" w:rsidR="00757B97" w:rsidRPr="00E246BC" w:rsidRDefault="00757B97">
            <w:pPr>
              <w:rPr>
                <w:rFonts w:cs="Arial"/>
                <w:b/>
                <w:bCs/>
                <w:lang w:val="en-US"/>
              </w:rPr>
            </w:pPr>
            <w:r w:rsidRPr="00E246BC">
              <w:rPr>
                <w:rFonts w:cs="Arial"/>
                <w:b/>
                <w:bCs/>
                <w:lang w:val="en-US"/>
              </w:rPr>
              <w:t xml:space="preserve">Leakage emissions from fuel use </w:t>
            </w:r>
          </w:p>
          <w:p w14:paraId="1F3A78E4" w14:textId="77777777" w:rsidR="00757B97" w:rsidRPr="00E246BC" w:rsidRDefault="00757B97">
            <w:pPr>
              <w:rPr>
                <w:rFonts w:cs="Arial"/>
                <w:b/>
                <w:bCs/>
                <w:lang w:val="en-US"/>
              </w:rPr>
            </w:pPr>
            <w:r w:rsidRPr="00E246BC">
              <w:rPr>
                <w:rFonts w:cs="Arial"/>
                <w:b/>
                <w:bCs/>
                <w:lang w:val="en-US"/>
              </w:rPr>
              <w:t>(tCO</w:t>
            </w:r>
            <w:r w:rsidRPr="00E246BC">
              <w:rPr>
                <w:rFonts w:cs="Arial"/>
                <w:b/>
                <w:bCs/>
                <w:vertAlign w:val="subscript"/>
                <w:lang w:val="en-US"/>
              </w:rPr>
              <w:t>2</w:t>
            </w:r>
            <w:r w:rsidRPr="00E246BC">
              <w:rPr>
                <w:rFonts w:cs="Arial"/>
                <w:b/>
                <w:bCs/>
                <w:lang w:val="en-US"/>
              </w:rPr>
              <w:t>e/yr)</w:t>
            </w:r>
          </w:p>
        </w:tc>
        <w:tc>
          <w:tcPr>
            <w:tcW w:w="1299" w:type="pct"/>
            <w:tcBorders>
              <w:top w:val="single" w:sz="4" w:space="0" w:color="auto"/>
              <w:left w:val="single" w:sz="4" w:space="0" w:color="auto"/>
              <w:bottom w:val="single" w:sz="4" w:space="0" w:color="auto"/>
              <w:right w:val="single" w:sz="4" w:space="0" w:color="auto"/>
            </w:tcBorders>
            <w:shd w:val="clear" w:color="auto" w:fill="D9D9D9"/>
            <w:hideMark/>
          </w:tcPr>
          <w:p w14:paraId="213C92DB" w14:textId="77777777" w:rsidR="00757B97" w:rsidRPr="00E246BC" w:rsidRDefault="00757B97">
            <w:pPr>
              <w:rPr>
                <w:rFonts w:cs="Arial"/>
                <w:b/>
                <w:bCs/>
                <w:lang w:val="en-US"/>
              </w:rPr>
            </w:pPr>
            <w:r w:rsidRPr="00E246BC">
              <w:rPr>
                <w:rFonts w:cs="Arial"/>
                <w:b/>
                <w:bCs/>
                <w:lang w:val="en-US"/>
              </w:rPr>
              <w:t>Emissions from fuel switch to biogas</w:t>
            </w:r>
          </w:p>
          <w:p w14:paraId="2BDA8EBC" w14:textId="77777777" w:rsidR="00757B97" w:rsidRPr="00E246BC" w:rsidRDefault="00757B97">
            <w:pPr>
              <w:rPr>
                <w:rFonts w:cs="Arial"/>
                <w:b/>
                <w:lang w:val="en-US"/>
              </w:rPr>
            </w:pPr>
            <w:r w:rsidRPr="00E246BC">
              <w:rPr>
                <w:rFonts w:cs="Arial"/>
                <w:b/>
                <w:bCs/>
                <w:lang w:val="en-US"/>
              </w:rPr>
              <w:t>(tCO</w:t>
            </w:r>
            <w:r w:rsidRPr="00E246BC">
              <w:rPr>
                <w:rFonts w:cs="Arial"/>
                <w:b/>
                <w:bCs/>
                <w:vertAlign w:val="subscript"/>
                <w:lang w:val="en-US"/>
              </w:rPr>
              <w:t>2</w:t>
            </w:r>
            <w:r w:rsidRPr="00E246BC">
              <w:rPr>
                <w:rFonts w:cs="Arial"/>
                <w:b/>
                <w:bCs/>
                <w:lang w:val="en-US"/>
              </w:rPr>
              <w:t>e/yr)</w:t>
            </w:r>
          </w:p>
        </w:tc>
      </w:tr>
      <w:tr w:rsidR="00757B97" w14:paraId="1B089FB7" w14:textId="77777777" w:rsidTr="00E246BC">
        <w:tc>
          <w:tcPr>
            <w:tcW w:w="1294" w:type="pct"/>
            <w:tcBorders>
              <w:top w:val="single" w:sz="4" w:space="0" w:color="auto"/>
              <w:left w:val="single" w:sz="4" w:space="0" w:color="auto"/>
              <w:bottom w:val="single" w:sz="4" w:space="0" w:color="auto"/>
              <w:right w:val="single" w:sz="4" w:space="0" w:color="auto"/>
            </w:tcBorders>
          </w:tcPr>
          <w:p w14:paraId="4BA5D861" w14:textId="77777777" w:rsidR="00757B97" w:rsidRPr="00E246BC" w:rsidRDefault="00DD04FE">
            <w:pPr>
              <w:rPr>
                <w:rFonts w:cs="Arial"/>
                <w:lang w:val="en-US"/>
              </w:rPr>
            </w:pPr>
            <w:r>
              <w:rPr>
                <w:rFonts w:cs="Arial"/>
                <w:lang w:val="en-US"/>
              </w:rPr>
              <w:t>11.54</w:t>
            </w:r>
          </w:p>
        </w:tc>
        <w:tc>
          <w:tcPr>
            <w:tcW w:w="1294" w:type="pct"/>
            <w:tcBorders>
              <w:top w:val="single" w:sz="4" w:space="0" w:color="auto"/>
              <w:left w:val="single" w:sz="4" w:space="0" w:color="auto"/>
              <w:bottom w:val="single" w:sz="4" w:space="0" w:color="auto"/>
              <w:right w:val="single" w:sz="4" w:space="0" w:color="auto"/>
            </w:tcBorders>
          </w:tcPr>
          <w:p w14:paraId="346ACE0A" w14:textId="77777777" w:rsidR="00757B97" w:rsidRPr="00E246BC" w:rsidRDefault="009E2C68">
            <w:pPr>
              <w:rPr>
                <w:rFonts w:cs="Arial"/>
                <w:lang w:val="en-US"/>
              </w:rPr>
            </w:pPr>
            <w:r>
              <w:rPr>
                <w:rFonts w:cs="Arial"/>
                <w:lang w:val="en-US"/>
              </w:rPr>
              <w:t>3.28</w:t>
            </w:r>
          </w:p>
        </w:tc>
        <w:tc>
          <w:tcPr>
            <w:tcW w:w="1113" w:type="pct"/>
            <w:tcBorders>
              <w:top w:val="single" w:sz="4" w:space="0" w:color="auto"/>
              <w:left w:val="single" w:sz="4" w:space="0" w:color="auto"/>
              <w:bottom w:val="single" w:sz="4" w:space="0" w:color="auto"/>
              <w:right w:val="single" w:sz="4" w:space="0" w:color="auto"/>
            </w:tcBorders>
          </w:tcPr>
          <w:p w14:paraId="006F3672" w14:textId="77777777" w:rsidR="00757B97" w:rsidRPr="00E246BC" w:rsidRDefault="00757B97">
            <w:pPr>
              <w:rPr>
                <w:rFonts w:cs="Arial"/>
                <w:lang w:val="en-US"/>
              </w:rPr>
            </w:pPr>
            <w:r w:rsidRPr="00E246BC">
              <w:rPr>
                <w:rFonts w:cs="Arial"/>
                <w:lang w:val="en-US"/>
              </w:rPr>
              <w:t>0.000</w:t>
            </w:r>
          </w:p>
        </w:tc>
        <w:tc>
          <w:tcPr>
            <w:tcW w:w="1299" w:type="pct"/>
            <w:tcBorders>
              <w:top w:val="single" w:sz="4" w:space="0" w:color="auto"/>
              <w:left w:val="single" w:sz="4" w:space="0" w:color="auto"/>
              <w:bottom w:val="single" w:sz="4" w:space="0" w:color="auto"/>
              <w:right w:val="single" w:sz="4" w:space="0" w:color="auto"/>
            </w:tcBorders>
          </w:tcPr>
          <w:p w14:paraId="45885A9A" w14:textId="77777777" w:rsidR="00757B97" w:rsidRPr="00E246BC" w:rsidRDefault="009E2C68">
            <w:pPr>
              <w:rPr>
                <w:rFonts w:cs="Arial"/>
                <w:lang w:val="en-US"/>
              </w:rPr>
            </w:pPr>
            <w:r>
              <w:rPr>
                <w:rFonts w:cs="Arial"/>
                <w:lang w:val="en-US"/>
              </w:rPr>
              <w:t>8.26</w:t>
            </w:r>
          </w:p>
        </w:tc>
      </w:tr>
    </w:tbl>
    <w:p w14:paraId="34E3DF49" w14:textId="77777777" w:rsidR="00BE6BC7" w:rsidRDefault="00BE6BC7" w:rsidP="00991A48">
      <w:pPr>
        <w:rPr>
          <w:rFonts w:cs="Arial"/>
          <w:lang w:eastAsia="en-US"/>
        </w:rPr>
      </w:pPr>
    </w:p>
    <w:p w14:paraId="24F9C904" w14:textId="77777777" w:rsidR="00757B97" w:rsidRDefault="00757B97" w:rsidP="00991A48">
      <w:pPr>
        <w:rPr>
          <w:rFonts w:cs="Arial"/>
          <w:lang w:eastAsia="en-US"/>
        </w:rPr>
      </w:pPr>
      <w:r>
        <w:rPr>
          <w:rFonts w:cs="Arial"/>
          <w:lang w:eastAsia="en-US"/>
        </w:rPr>
        <w:t>For more details, please see the emission reduction calculation spreadsheet.</w:t>
      </w:r>
    </w:p>
    <w:p w14:paraId="1DA15B99" w14:textId="77777777" w:rsidR="00757B97" w:rsidRDefault="00757B97" w:rsidP="00991A48">
      <w:pPr>
        <w:rPr>
          <w:rFonts w:cs="Arial"/>
          <w:lang w:eastAsia="en-US"/>
        </w:rPr>
      </w:pPr>
    </w:p>
    <w:p w14:paraId="5243B873" w14:textId="77777777" w:rsidR="00BE6BC7" w:rsidRDefault="001F645D" w:rsidP="00BE6BC7">
      <w:pPr>
        <w:rPr>
          <w:rFonts w:cs="Arial"/>
          <w:i/>
          <w:lang w:val="en-US"/>
        </w:rPr>
      </w:pPr>
      <w:r>
        <w:rPr>
          <w:rFonts w:cs="Arial"/>
          <w:i/>
          <w:lang w:val="en-US"/>
        </w:rPr>
        <w:t xml:space="preserve">6.4.3.2 </w:t>
      </w:r>
      <w:r w:rsidR="00BE6BC7">
        <w:rPr>
          <w:rFonts w:cs="Arial"/>
          <w:i/>
          <w:lang w:val="en-US"/>
        </w:rPr>
        <w:t>Emission reduction component 2: Accounting for emission reductions due to the avoidance of methane emissions from manure handling.</w:t>
      </w:r>
    </w:p>
    <w:p w14:paraId="0B07F2A4" w14:textId="77777777" w:rsidR="00BE6BC7" w:rsidRDefault="00BE6BC7" w:rsidP="00BE6BC7">
      <w:pPr>
        <w:rPr>
          <w:rFonts w:cs="Arial"/>
          <w:lang w:val="en-US"/>
        </w:rPr>
      </w:pPr>
    </w:p>
    <w:p w14:paraId="4AF42F68" w14:textId="77777777" w:rsidR="00BE6BC7" w:rsidRDefault="00BE6BC7" w:rsidP="00BE6BC7">
      <w:pPr>
        <w:rPr>
          <w:rFonts w:cs="Arial"/>
        </w:rPr>
      </w:pPr>
      <w:r>
        <w:rPr>
          <w:rFonts w:cs="Arial"/>
          <w:bCs/>
          <w:lang w:val="en-US"/>
        </w:rPr>
        <w:t>The emissions from the animal waste management system of the baseline are determined using the IPCC 2006 Tier 2 approach</w:t>
      </w:r>
      <w:r>
        <w:rPr>
          <w:rFonts w:cs="Arial"/>
        </w:rPr>
        <w:t xml:space="preserve"> The Tier 2 approach is applicable to situations where baseline data for an estimation of the methane emission factor per category of livestock are available. The baseline emissions per household shall be calculated as follows:</w:t>
      </w:r>
    </w:p>
    <w:p w14:paraId="14CB7A9B" w14:textId="77777777" w:rsidR="00BE6BC7" w:rsidRDefault="00386F9E" w:rsidP="00BE6BC7">
      <w:pPr>
        <w:rPr>
          <w:rFonts w:cs="Arial"/>
        </w:rPr>
      </w:pPr>
      <w:r>
        <w:rPr>
          <w:rFonts w:cs="Arial"/>
        </w:rPr>
        <w:fldChar w:fldCharType="begin"/>
      </w:r>
      <w:r w:rsidR="00BE6BC7">
        <w:rPr>
          <w:rFonts w:cs="Arial"/>
        </w:rPr>
        <w:instrText xml:space="preserve"> QUOTE </w:instrText>
      </w:r>
      <w:r w:rsidR="00BE6BC7" w:rsidRPr="001E0142">
        <w:rPr>
          <w:rFonts w:ascii="Cambria Math" w:hAnsi="Cambria Math"/>
          <w:sz w:val="24"/>
        </w:rPr>
        <w:instrText>BECH4,h,y</w:instrText>
      </w:r>
      <w:r w:rsidR="00BE6BC7" w:rsidRPr="00BE6BC7">
        <w:rPr>
          <w:rFonts w:ascii="Cambria Math" w:hAnsi="Cambria Math"/>
          <w:sz w:val="24"/>
        </w:rPr>
        <w:instrText xml:space="preserve">= </w:instrText>
      </w:r>
      <w:r w:rsidR="00BE6BC7" w:rsidRPr="001E0142">
        <w:rPr>
          <w:rFonts w:ascii="Cambria Math" w:hAnsi="Cambria Math"/>
          <w:sz w:val="24"/>
        </w:rPr>
        <w:instrText>VST*365*(B0,T*0.67kg/m3 * MCFx,k* MST,x,k* GWPCH4* NT(h))1000</w:instrText>
      </w:r>
      <w:r w:rsidR="00BE6BC7">
        <w:rPr>
          <w:rFonts w:cs="Arial"/>
        </w:rPr>
        <w:instrText xml:space="preserve"> </w:instrText>
      </w:r>
      <w:r>
        <w:rPr>
          <w:rFonts w:cs="Arial"/>
        </w:rPr>
        <w:fldChar w:fldCharType="separate"/>
      </w:r>
    </w:p>
    <w:p w14:paraId="5D2B4D45" w14:textId="77777777" w:rsidR="00BE6BC7" w:rsidRDefault="00B964EE" w:rsidP="00BE6BC7">
      <w:pPr>
        <w:rPr>
          <w:rFonts w:cs="Arial"/>
        </w:rPr>
      </w:pPr>
      <m:oMath>
        <m:sSub>
          <m:sSubPr>
            <m:ctrlPr>
              <w:rPr>
                <w:rFonts w:ascii="Cambria Math" w:hAnsi="Cambria Math"/>
                <w:b/>
                <w:i/>
              </w:rPr>
            </m:ctrlPr>
          </m:sSubPr>
          <m:e>
            <m:r>
              <m:rPr>
                <m:sty m:val="p"/>
              </m:rPr>
              <w:rPr>
                <w:rFonts w:ascii="Cambria Math" w:hAnsi="Cambria Math"/>
              </w:rPr>
              <m:t>BE</m:t>
            </m:r>
          </m:e>
          <m:sub>
            <m:r>
              <m:rPr>
                <m:sty m:val="p"/>
              </m:rPr>
              <w:rPr>
                <w:rFonts w:ascii="Cambria Math" w:hAnsi="Cambria Math"/>
              </w:rPr>
              <m:t>b,CH4,h,y</m:t>
            </m:r>
          </m:sub>
        </m:sSub>
        <m:r>
          <m:rPr>
            <m:sty m:val="p"/>
          </m:rPr>
          <w:rPr>
            <w:rFonts w:ascii="Cambria Math" w:hAnsi="Cambria Math"/>
          </w: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m:sty m:val="p"/>
                      </m:rPr>
                      <w:rPr>
                        <w:rFonts w:ascii="Cambria Math" w:hAnsi="Cambria Math"/>
                      </w:rPr>
                      <m:t>VS</m:t>
                    </m:r>
                  </m:e>
                  <m:sub>
                    <m:r>
                      <m:rPr>
                        <m:sty m:val="p"/>
                      </m:rPr>
                      <w:rPr>
                        <w:rFonts w:ascii="Cambria Math" w:hAnsi="Cambria Math"/>
                      </w:rPr>
                      <m:t>T</m:t>
                    </m:r>
                  </m:sub>
                </m:sSub>
                <m:r>
                  <m:rPr>
                    <m:sty m:val="p"/>
                  </m:rPr>
                  <w:rPr>
                    <w:rFonts w:ascii="Cambria Math" w:hAnsi="Cambria Math"/>
                  </w:rPr>
                  <m:t>*365</m:t>
                </m:r>
              </m:e>
            </m:d>
            <m:r>
              <m:rPr>
                <m:sty m:val="p"/>
              </m:rPr>
              <w:rPr>
                <w:rFonts w:ascii="Cambria Math" w:hAnsi="Cambria Math"/>
              </w:rPr>
              <m:t>*(</m:t>
            </m:r>
            <m:sSub>
              <m:sSubPr>
                <m:ctrlPr>
                  <w:rPr>
                    <w:rFonts w:ascii="Cambria Math" w:hAnsi="Cambria Math"/>
                    <w:i/>
                  </w:rPr>
                </m:ctrlPr>
              </m:sSubPr>
              <m:e>
                <m:r>
                  <m:rPr>
                    <m:sty m:val="p"/>
                  </m:rPr>
                  <w:rPr>
                    <w:rFonts w:ascii="Cambria Math" w:hAnsi="Cambria Math"/>
                  </w:rPr>
                  <m:t>B</m:t>
                </m:r>
              </m:e>
              <m:sub>
                <m:r>
                  <m:rPr>
                    <m:sty m:val="p"/>
                  </m:rPr>
                  <w:rPr>
                    <w:rFonts w:ascii="Cambria Math" w:hAnsi="Cambria Math"/>
                  </w:rPr>
                  <m:t>0,T</m:t>
                </m:r>
              </m:sub>
            </m:sSub>
            <m:r>
              <m:rPr>
                <m:sty m:val="p"/>
              </m:rPr>
              <w:rPr>
                <w:rFonts w:ascii="Cambria Math" w:hAnsi="Cambria Math"/>
              </w:rPr>
              <m:t>*0.67kg/</m:t>
            </m:r>
            <m:sSup>
              <m:sSupPr>
                <m:ctrlPr>
                  <w:rPr>
                    <w:rFonts w:ascii="Cambria Math" w:hAnsi="Cambria Math"/>
                    <w:i/>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MCF</m:t>
                </m:r>
              </m:e>
              <m:sub>
                <m:r>
                  <m:rPr>
                    <m:sty m:val="p"/>
                  </m:rPr>
                  <w:rPr>
                    <w:rFonts w:ascii="Cambria Math" w:hAnsi="Cambria Math"/>
                  </w:rPr>
                  <m:t>x,k</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MS</m:t>
                </m:r>
              </m:e>
              <m:sub>
                <m:r>
                  <m:rPr>
                    <m:sty m:val="p"/>
                  </m:rPr>
                  <w:rPr>
                    <w:rFonts w:ascii="Cambria Math" w:hAnsi="Cambria Math"/>
                  </w:rPr>
                  <m:t>T,x,k</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GWP</m:t>
                </m:r>
              </m:e>
              <m:sub>
                <m:r>
                  <m:rPr>
                    <m:sty m:val="p"/>
                  </m:rPr>
                  <w:rPr>
                    <w:rFonts w:ascii="Cambria Math" w:hAnsi="Cambria Math"/>
                  </w:rPr>
                  <m:t>CH4</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T,h</m:t>
                </m:r>
              </m:sub>
            </m:sSub>
            <m:r>
              <m:rPr>
                <m:sty m:val="p"/>
              </m:rPr>
              <w:rPr>
                <w:rFonts w:ascii="Cambria Math" w:hAnsi="Cambria Math"/>
              </w:rPr>
              <m:t>)</m:t>
            </m:r>
          </m:num>
          <m:den>
            <m:r>
              <m:rPr>
                <m:sty m:val="p"/>
              </m:rPr>
              <w:rPr>
                <w:rFonts w:ascii="Cambria Math" w:hAnsi="Cambria Math"/>
              </w:rPr>
              <m:t>1000</m:t>
            </m:r>
          </m:den>
        </m:f>
      </m:oMath>
      <w:r w:rsidR="00BE6BC7">
        <w:rPr>
          <w:rFonts w:cs="Arial"/>
        </w:rPr>
        <w:t xml:space="preserve">                                                 </w:t>
      </w:r>
      <w:r w:rsidR="00BE6BC7">
        <w:rPr>
          <w:rFonts w:cs="Arial"/>
          <w:b/>
        </w:rPr>
        <w:t>(5)</w:t>
      </w:r>
    </w:p>
    <w:p w14:paraId="61403C69" w14:textId="77777777" w:rsidR="00BE6BC7" w:rsidRDefault="00386F9E" w:rsidP="00BE6BC7">
      <w:pPr>
        <w:rPr>
          <w:rFonts w:cs="Arial"/>
          <w:b/>
        </w:rPr>
      </w:pPr>
      <w:r>
        <w:rPr>
          <w:rFonts w:cs="Arial"/>
        </w:rPr>
        <w:fldChar w:fldCharType="end"/>
      </w:r>
      <w:r w:rsidR="00BE6BC7">
        <w:rPr>
          <w:rFonts w:cs="Arial"/>
        </w:rPr>
        <w:t xml:space="preserve">               </w:t>
      </w:r>
      <w:r w:rsidR="00BE6BC7">
        <w:rPr>
          <w:rFonts w:cs="Arial"/>
        </w:rPr>
        <w:tab/>
      </w:r>
    </w:p>
    <w:p w14:paraId="785A7B02" w14:textId="77777777" w:rsidR="00BE6BC7" w:rsidRDefault="00BE6BC7" w:rsidP="00BE6BC7">
      <w:pPr>
        <w:rPr>
          <w:rFonts w:cs="Arial"/>
        </w:rPr>
      </w:pPr>
      <w:r>
        <w:rPr>
          <w:rFonts w:cs="Arial"/>
        </w:rPr>
        <w:t>Where:</w:t>
      </w:r>
    </w:p>
    <w:p w14:paraId="422DE706" w14:textId="77777777" w:rsidR="00BE6BC7" w:rsidRDefault="00BE6BC7" w:rsidP="00BE6BC7">
      <w:pPr>
        <w:rPr>
          <w:rFonts w:cs="Arial"/>
        </w:rPr>
      </w:pPr>
    </w:p>
    <w:p w14:paraId="7604AF36" w14:textId="77777777" w:rsidR="00BE6BC7" w:rsidRDefault="00BE6BC7" w:rsidP="00BE6BC7">
      <w:pPr>
        <w:suppressAutoHyphens/>
        <w:ind w:left="1872" w:hanging="1248"/>
        <w:jc w:val="left"/>
        <w:rPr>
          <w:rFonts w:cs="Arial"/>
          <w:lang w:eastAsia="ar-SA"/>
        </w:rPr>
      </w:pPr>
      <w:r>
        <w:rPr>
          <w:rFonts w:cs="Arial"/>
          <w:lang w:eastAsia="ar-SA"/>
        </w:rPr>
        <w:t>BE</w:t>
      </w:r>
      <w:r>
        <w:rPr>
          <w:rFonts w:cs="Arial"/>
          <w:vertAlign w:val="subscript"/>
          <w:lang w:eastAsia="ar-SA"/>
        </w:rPr>
        <w:t>b,CH4,h,y</w:t>
      </w:r>
      <w:r>
        <w:rPr>
          <w:rFonts w:cs="Arial"/>
          <w:lang w:eastAsia="ar-SA"/>
        </w:rPr>
        <w:tab/>
        <w:t>Baseline emissions from manure handling during the year y in tCO</w:t>
      </w:r>
      <w:r>
        <w:rPr>
          <w:rFonts w:cs="Arial"/>
          <w:vertAlign w:val="subscript"/>
          <w:lang w:eastAsia="ar-SA"/>
        </w:rPr>
        <w:t>2</w:t>
      </w:r>
      <w:r>
        <w:rPr>
          <w:rFonts w:cs="Arial"/>
          <w:lang w:eastAsia="ar-SA"/>
        </w:rPr>
        <w:t>e for manure handling method h</w:t>
      </w:r>
    </w:p>
    <w:p w14:paraId="2CC2A93F" w14:textId="77777777" w:rsidR="00BE6BC7" w:rsidRDefault="00BE6BC7" w:rsidP="00BE6BC7">
      <w:pPr>
        <w:suppressAutoHyphens/>
        <w:jc w:val="left"/>
        <w:rPr>
          <w:rFonts w:cs="Arial"/>
          <w:lang w:eastAsia="ar-SA"/>
        </w:rPr>
      </w:pPr>
    </w:p>
    <w:p w14:paraId="42E3AED4" w14:textId="77777777" w:rsidR="00BE6BC7" w:rsidRDefault="00BE6BC7" w:rsidP="00BE6BC7">
      <w:pPr>
        <w:suppressAutoHyphens/>
        <w:ind w:left="1872" w:hanging="1248"/>
        <w:jc w:val="left"/>
        <w:rPr>
          <w:rFonts w:cs="Arial"/>
          <w:lang w:eastAsia="ar-SA"/>
        </w:rPr>
      </w:pPr>
      <w:r>
        <w:rPr>
          <w:rFonts w:cs="Arial"/>
          <w:lang w:eastAsia="ar-SA"/>
        </w:rPr>
        <w:t>VS</w:t>
      </w:r>
      <w:r>
        <w:rPr>
          <w:rFonts w:cs="Arial"/>
          <w:vertAlign w:val="subscript"/>
          <w:lang w:eastAsia="ar-SA"/>
        </w:rPr>
        <w:t>T</w:t>
      </w:r>
      <w:r>
        <w:rPr>
          <w:rFonts w:cs="Arial"/>
          <w:lang w:eastAsia="ar-SA"/>
        </w:rPr>
        <w:t xml:space="preserve"> </w:t>
      </w:r>
      <w:r>
        <w:rPr>
          <w:rFonts w:cs="Arial"/>
          <w:lang w:eastAsia="ar-SA"/>
        </w:rPr>
        <w:tab/>
        <w:t>Daily volatile solid excreted for livestock category T in kg dry matter per animal per day</w:t>
      </w:r>
    </w:p>
    <w:p w14:paraId="33B6C5CC" w14:textId="77777777" w:rsidR="00BE6BC7" w:rsidRDefault="00BE6BC7" w:rsidP="00BE6BC7">
      <w:pPr>
        <w:suppressAutoHyphens/>
        <w:ind w:left="1872" w:hanging="1248"/>
        <w:jc w:val="left"/>
        <w:rPr>
          <w:rFonts w:cs="Arial"/>
          <w:lang w:eastAsia="ar-SA"/>
        </w:rPr>
      </w:pPr>
    </w:p>
    <w:p w14:paraId="05CEE13B" w14:textId="77777777" w:rsidR="00BE6BC7" w:rsidRDefault="00BE6BC7" w:rsidP="00BE6BC7">
      <w:pPr>
        <w:suppressAutoHyphens/>
        <w:ind w:left="1872" w:hanging="1248"/>
        <w:jc w:val="left"/>
        <w:rPr>
          <w:rFonts w:cs="Arial"/>
          <w:lang w:eastAsia="ar-SA"/>
        </w:rPr>
      </w:pPr>
      <w:r>
        <w:rPr>
          <w:rFonts w:cs="Arial"/>
          <w:lang w:eastAsia="ar-SA"/>
        </w:rPr>
        <w:t>B</w:t>
      </w:r>
      <w:r>
        <w:rPr>
          <w:rFonts w:cs="Arial"/>
          <w:vertAlign w:val="subscript"/>
          <w:lang w:eastAsia="ar-SA"/>
        </w:rPr>
        <w:t>0,T</w:t>
      </w:r>
      <w:r>
        <w:rPr>
          <w:rFonts w:cs="Arial"/>
          <w:lang w:eastAsia="ar-SA"/>
        </w:rPr>
        <w:tab/>
        <w:t>Maximum methane producing capacity for manure produced by livestock category T in m</w:t>
      </w:r>
      <w:r>
        <w:rPr>
          <w:rFonts w:cs="Arial"/>
          <w:vertAlign w:val="superscript"/>
          <w:lang w:eastAsia="ar-SA"/>
        </w:rPr>
        <w:t>3</w:t>
      </w:r>
      <w:r>
        <w:rPr>
          <w:rFonts w:cs="Arial"/>
          <w:lang w:eastAsia="ar-SA"/>
        </w:rPr>
        <w:t xml:space="preserve"> CH</w:t>
      </w:r>
      <w:r>
        <w:rPr>
          <w:rFonts w:cs="Arial"/>
          <w:vertAlign w:val="subscript"/>
          <w:lang w:eastAsia="ar-SA"/>
        </w:rPr>
        <w:t>4</w:t>
      </w:r>
      <w:r>
        <w:rPr>
          <w:rFonts w:cs="Arial"/>
          <w:lang w:eastAsia="ar-SA"/>
        </w:rPr>
        <w:t xml:space="preserve"> </w:t>
      </w:r>
    </w:p>
    <w:p w14:paraId="6CA337CC" w14:textId="77777777" w:rsidR="00BE6BC7" w:rsidRDefault="00BE6BC7" w:rsidP="00BE6BC7">
      <w:pPr>
        <w:suppressAutoHyphens/>
        <w:jc w:val="left"/>
        <w:rPr>
          <w:rFonts w:cs="Arial"/>
          <w:vertAlign w:val="subscript"/>
          <w:lang w:eastAsia="ar-SA"/>
        </w:rPr>
      </w:pPr>
    </w:p>
    <w:p w14:paraId="4CA0831F" w14:textId="77777777" w:rsidR="00BE6BC7" w:rsidRDefault="00BE6BC7" w:rsidP="00BE6BC7">
      <w:pPr>
        <w:suppressAutoHyphens/>
        <w:autoSpaceDE w:val="0"/>
        <w:autoSpaceDN w:val="0"/>
        <w:adjustRightInd w:val="0"/>
        <w:ind w:left="1872" w:hanging="1248"/>
        <w:jc w:val="left"/>
        <w:rPr>
          <w:rFonts w:cs="Arial"/>
          <w:lang w:eastAsia="ar-SA"/>
        </w:rPr>
      </w:pPr>
      <w:r>
        <w:rPr>
          <w:rFonts w:cs="Arial"/>
          <w:lang w:eastAsia="ar-SA"/>
        </w:rPr>
        <w:t>MCF</w:t>
      </w:r>
      <w:r>
        <w:rPr>
          <w:rFonts w:cs="Arial"/>
          <w:vertAlign w:val="subscript"/>
          <w:lang w:eastAsia="ar-SA"/>
        </w:rPr>
        <w:t>x,k</w:t>
      </w:r>
      <w:r>
        <w:rPr>
          <w:rFonts w:cs="Arial"/>
          <w:lang w:eastAsia="ar-SA"/>
        </w:rPr>
        <w:tab/>
        <w:t>Methane conversion factors for the animal waste handling system in the baseline situation by climate zone k, (%)</w:t>
      </w:r>
    </w:p>
    <w:p w14:paraId="44D31966" w14:textId="77777777" w:rsidR="00BE6BC7" w:rsidRDefault="00BE6BC7" w:rsidP="00BE6BC7">
      <w:pPr>
        <w:suppressAutoHyphens/>
        <w:ind w:left="1872" w:hanging="1248"/>
        <w:jc w:val="left"/>
        <w:rPr>
          <w:rFonts w:cs="Arial"/>
          <w:lang w:eastAsia="ar-SA"/>
        </w:rPr>
      </w:pPr>
    </w:p>
    <w:p w14:paraId="71822F6D" w14:textId="77777777" w:rsidR="00BE6BC7" w:rsidRDefault="00BE6BC7" w:rsidP="00BE6BC7">
      <w:pPr>
        <w:suppressAutoHyphens/>
        <w:ind w:left="1872" w:hanging="1248"/>
        <w:jc w:val="left"/>
        <w:rPr>
          <w:rFonts w:cs="Arial"/>
          <w:lang w:eastAsia="ar-SA"/>
        </w:rPr>
      </w:pPr>
      <w:r>
        <w:rPr>
          <w:rFonts w:cs="Arial"/>
          <w:lang w:eastAsia="ar-SA"/>
        </w:rPr>
        <w:t>MS</w:t>
      </w:r>
      <w:r>
        <w:rPr>
          <w:rFonts w:cs="Arial"/>
          <w:vertAlign w:val="subscript"/>
          <w:lang w:eastAsia="ar-SA"/>
        </w:rPr>
        <w:t>T,x,k</w:t>
      </w:r>
      <w:r>
        <w:rPr>
          <w:rFonts w:cs="Arial"/>
          <w:lang w:eastAsia="ar-SA"/>
        </w:rPr>
        <w:tab/>
        <w:t>Fraction of livestock category T’s manure handled using manure management system x in climate region k (determined through survey method ex-post)</w:t>
      </w:r>
    </w:p>
    <w:p w14:paraId="2A624C7B" w14:textId="77777777" w:rsidR="00BE6BC7" w:rsidRDefault="00BE6BC7" w:rsidP="00BE6BC7">
      <w:pPr>
        <w:suppressAutoHyphens/>
        <w:ind w:left="1872" w:hanging="1248"/>
        <w:jc w:val="left"/>
        <w:rPr>
          <w:rFonts w:cs="Arial"/>
          <w:lang w:eastAsia="ar-SA"/>
        </w:rPr>
      </w:pPr>
    </w:p>
    <w:p w14:paraId="181CC31B" w14:textId="77777777" w:rsidR="00BE6BC7" w:rsidRDefault="00BE6BC7" w:rsidP="00BE6BC7">
      <w:pPr>
        <w:suppressAutoHyphens/>
        <w:ind w:left="1872" w:hanging="1248"/>
        <w:jc w:val="left"/>
        <w:rPr>
          <w:rFonts w:cs="Arial"/>
          <w:lang w:eastAsia="ar-SA"/>
        </w:rPr>
      </w:pPr>
      <w:r>
        <w:rPr>
          <w:rFonts w:cs="Arial"/>
          <w:lang w:eastAsia="ar-SA"/>
        </w:rPr>
        <w:t>GWP</w:t>
      </w:r>
      <w:r>
        <w:rPr>
          <w:rFonts w:cs="Arial"/>
          <w:vertAlign w:val="subscript"/>
          <w:lang w:eastAsia="ar-SA"/>
        </w:rPr>
        <w:t>CH4</w:t>
      </w:r>
      <w:r>
        <w:rPr>
          <w:rFonts w:cs="Arial"/>
          <w:lang w:eastAsia="ar-SA"/>
        </w:rPr>
        <w:tab/>
        <w:t>Global W</w:t>
      </w:r>
      <w:r w:rsidR="00CF6286">
        <w:rPr>
          <w:rFonts w:cs="Arial"/>
          <w:lang w:eastAsia="ar-SA"/>
        </w:rPr>
        <w:t xml:space="preserve">arming Potential of methane </w:t>
      </w:r>
    </w:p>
    <w:p w14:paraId="2275B408" w14:textId="77777777" w:rsidR="00BE6BC7" w:rsidRDefault="00BE6BC7" w:rsidP="00BE6BC7">
      <w:pPr>
        <w:suppressAutoHyphens/>
        <w:jc w:val="left"/>
        <w:rPr>
          <w:rFonts w:cs="Arial"/>
          <w:i/>
          <w:sz w:val="20"/>
          <w:lang w:eastAsia="ar-SA"/>
        </w:rPr>
      </w:pPr>
    </w:p>
    <w:p w14:paraId="18886CDA" w14:textId="77777777" w:rsidR="00BE6BC7" w:rsidRDefault="00BE6BC7" w:rsidP="00BE6BC7">
      <w:pPr>
        <w:suppressAutoHyphens/>
        <w:ind w:left="1872" w:hanging="1248"/>
        <w:jc w:val="left"/>
        <w:rPr>
          <w:rFonts w:cs="Arial"/>
          <w:lang w:eastAsia="ar-SA"/>
        </w:rPr>
      </w:pPr>
      <w:r>
        <w:rPr>
          <w:rFonts w:cs="Arial"/>
          <w:lang w:eastAsia="ar-SA"/>
        </w:rPr>
        <w:t>N</w:t>
      </w:r>
      <w:r>
        <w:rPr>
          <w:rFonts w:cs="Arial"/>
          <w:vertAlign w:val="subscript"/>
          <w:lang w:eastAsia="ar-SA"/>
        </w:rPr>
        <w:t>T,h</w:t>
      </w:r>
      <w:r>
        <w:rPr>
          <w:rFonts w:cs="Arial"/>
          <w:lang w:eastAsia="ar-SA"/>
        </w:rPr>
        <w:tab/>
        <w:t>Number of livestock category T in premise h</w:t>
      </w:r>
    </w:p>
    <w:p w14:paraId="44C4A7C9" w14:textId="77777777" w:rsidR="00BE6BC7" w:rsidRDefault="00BE6BC7" w:rsidP="00BE6BC7">
      <w:pPr>
        <w:rPr>
          <w:rFonts w:cs="Arial"/>
          <w:i/>
        </w:rPr>
      </w:pPr>
    </w:p>
    <w:p w14:paraId="47659386" w14:textId="77777777" w:rsidR="00BE6BC7" w:rsidRDefault="00BE6BC7" w:rsidP="00BE6BC7">
      <w:pPr>
        <w:rPr>
          <w:rFonts w:cs="Arial"/>
        </w:rPr>
      </w:pPr>
      <w:r>
        <w:rPr>
          <w:rFonts w:cs="Arial"/>
        </w:rPr>
        <w:t>MCF</w:t>
      </w:r>
      <w:r>
        <w:rPr>
          <w:rFonts w:cs="Arial"/>
          <w:vertAlign w:val="subscript"/>
        </w:rPr>
        <w:t>x,k</w:t>
      </w:r>
      <w:r>
        <w:rPr>
          <w:rFonts w:cs="Arial"/>
        </w:rPr>
        <w:t>, MS</w:t>
      </w:r>
      <w:r>
        <w:rPr>
          <w:rFonts w:cs="Arial"/>
          <w:vertAlign w:val="subscript"/>
        </w:rPr>
        <w:t>T,x,k</w:t>
      </w:r>
      <w:r>
        <w:rPr>
          <w:rFonts w:cs="Arial"/>
        </w:rPr>
        <w:t xml:space="preserve"> and N</w:t>
      </w:r>
      <w:r>
        <w:rPr>
          <w:rFonts w:cs="Arial"/>
          <w:vertAlign w:val="subscript"/>
        </w:rPr>
        <w:t>T,h</w:t>
      </w:r>
      <w:r>
        <w:rPr>
          <w:rFonts w:cs="Arial"/>
        </w:rPr>
        <w:t xml:space="preserve"> is defined </w:t>
      </w:r>
      <w:r>
        <w:rPr>
          <w:rFonts w:cs="Arial"/>
          <w:i/>
        </w:rPr>
        <w:t>ex-ante</w:t>
      </w:r>
      <w:r>
        <w:rPr>
          <w:rFonts w:cs="Arial"/>
        </w:rPr>
        <w:t xml:space="preserve"> on the VPA level referencing a baseline survey applicable to the target user . The conversion factors applicable to the baseline scenario will be sourced from default values presented in Table 10.17 of the IPCC Guidelines for National Greenhouse Gas Inventories. </w:t>
      </w:r>
    </w:p>
    <w:p w14:paraId="1ED95CCA" w14:textId="77777777" w:rsidR="00BE6BC7" w:rsidRDefault="00BE6BC7" w:rsidP="00BE6BC7">
      <w:pPr>
        <w:rPr>
          <w:rFonts w:cs="Arial"/>
        </w:rPr>
      </w:pPr>
    </w:p>
    <w:p w14:paraId="13C97472" w14:textId="77777777" w:rsidR="00BE6BC7" w:rsidRDefault="00BE6BC7" w:rsidP="00BE6BC7">
      <w:pPr>
        <w:rPr>
          <w:rFonts w:cs="Arial"/>
        </w:rPr>
      </w:pPr>
      <w:r>
        <w:rPr>
          <w:rFonts w:cs="Arial"/>
        </w:rPr>
        <w:t>VS</w:t>
      </w:r>
      <w:r>
        <w:rPr>
          <w:rFonts w:cs="Arial"/>
          <w:vertAlign w:val="subscript"/>
        </w:rPr>
        <w:t>T</w:t>
      </w:r>
      <w:r>
        <w:rPr>
          <w:rFonts w:cs="Arial"/>
        </w:rPr>
        <w:t xml:space="preserve"> and B</w:t>
      </w:r>
      <w:r>
        <w:rPr>
          <w:rFonts w:cs="Arial"/>
          <w:vertAlign w:val="subscript"/>
        </w:rPr>
        <w:t>0,T</w:t>
      </w:r>
      <w:r>
        <w:rPr>
          <w:rFonts w:cs="Arial"/>
        </w:rPr>
        <w:t xml:space="preserve"> can be defined </w:t>
      </w:r>
      <w:r>
        <w:rPr>
          <w:rFonts w:cs="Arial"/>
          <w:i/>
        </w:rPr>
        <w:t>ex-ante</w:t>
      </w:r>
      <w:r>
        <w:rPr>
          <w:rFonts w:cs="Arial"/>
          <w:i/>
        </w:rPr>
        <w:softHyphen/>
      </w:r>
      <w:r>
        <w:rPr>
          <w:rFonts w:cs="Arial"/>
        </w:rPr>
        <w:t xml:space="preserve"> as per the default values presented in the IPCC Guidelines for National Greenhouse Gas Inventories, where no country-specific data is available. These can be found in Tables 10A-4 through 10A-9 of the referenced report.</w:t>
      </w:r>
    </w:p>
    <w:p w14:paraId="328502B2" w14:textId="77777777" w:rsidR="00BE6BC7" w:rsidRDefault="00BE6BC7" w:rsidP="00991A48">
      <w:pPr>
        <w:rPr>
          <w:rFonts w:cs="Arial"/>
          <w:lang w:eastAsia="en-US"/>
        </w:rPr>
      </w:pPr>
    </w:p>
    <w:p w14:paraId="33C532DE" w14:textId="77777777" w:rsidR="00BE6BC7" w:rsidRDefault="00BE6BC7" w:rsidP="00BE6BC7">
      <w:pPr>
        <w:rPr>
          <w:rFonts w:cs="Arial"/>
          <w:b/>
          <w:bCs/>
          <w:lang w:val="en-US"/>
        </w:rPr>
      </w:pPr>
      <w:r>
        <w:rPr>
          <w:rFonts w:cs="Arial"/>
          <w:b/>
          <w:bCs/>
          <w:lang w:val="en-US"/>
        </w:rPr>
        <w:t xml:space="preserve">Step 1: Determination of </w:t>
      </w:r>
      <w:r>
        <w:rPr>
          <w:rFonts w:cs="Arial"/>
          <w:b/>
        </w:rPr>
        <w:t>N</w:t>
      </w:r>
      <w:r>
        <w:rPr>
          <w:rFonts w:cs="Arial"/>
          <w:b/>
          <w:vertAlign w:val="subscript"/>
        </w:rPr>
        <w:t>T,h</w:t>
      </w:r>
    </w:p>
    <w:p w14:paraId="2F3D3E13" w14:textId="77777777" w:rsidR="00A53453" w:rsidRDefault="00BE6BC7" w:rsidP="00E464D5">
      <w:pPr>
        <w:rPr>
          <w:rFonts w:cs="Arial"/>
        </w:rPr>
      </w:pPr>
      <w:r>
        <w:rPr>
          <w:rFonts w:cs="Arial"/>
        </w:rPr>
        <w:t xml:space="preserve">According to the </w:t>
      </w:r>
      <w:r w:rsidR="00E464D5">
        <w:rPr>
          <w:rFonts w:cs="Arial"/>
        </w:rPr>
        <w:t xml:space="preserve">Monitoring </w:t>
      </w:r>
      <w:r w:rsidRPr="003F461E">
        <w:rPr>
          <w:rFonts w:cs="Arial"/>
        </w:rPr>
        <w:t>Survey 2</w:t>
      </w:r>
      <w:r w:rsidR="00A7165A" w:rsidRPr="003F461E">
        <w:rPr>
          <w:rFonts w:cs="Arial"/>
        </w:rPr>
        <w:t>016</w:t>
      </w:r>
      <w:r w:rsidR="00E464D5">
        <w:rPr>
          <w:rFonts w:cs="Arial"/>
        </w:rPr>
        <w:t xml:space="preserve"> for VPA1</w:t>
      </w:r>
      <w:r w:rsidRPr="003F461E">
        <w:rPr>
          <w:rFonts w:cs="Arial"/>
        </w:rPr>
        <w:t>,</w:t>
      </w:r>
      <w:r>
        <w:rPr>
          <w:rFonts w:cs="Arial"/>
        </w:rPr>
        <w:t xml:space="preserve"> the dominant type of cattle owned by the respondents was dairy cows</w:t>
      </w:r>
      <w:r w:rsidR="00E464D5">
        <w:rPr>
          <w:rFonts w:cs="Arial"/>
        </w:rPr>
        <w:t>. See Section B.3. for an overview of the values applied.</w:t>
      </w:r>
      <w:r>
        <w:rPr>
          <w:rFonts w:cs="Arial"/>
        </w:rPr>
        <w:t xml:space="preserve"> </w:t>
      </w:r>
    </w:p>
    <w:p w14:paraId="5B83270F" w14:textId="77777777" w:rsidR="00295846" w:rsidRDefault="00295846" w:rsidP="00E464D5">
      <w:pPr>
        <w:rPr>
          <w:rFonts w:cs="Arial"/>
          <w:b/>
          <w:bCs/>
          <w:lang w:val="en-US"/>
        </w:rPr>
      </w:pPr>
    </w:p>
    <w:p w14:paraId="517E4137" w14:textId="77777777" w:rsidR="00A53453" w:rsidRDefault="00A53453" w:rsidP="00A53453">
      <w:pPr>
        <w:rPr>
          <w:rFonts w:cs="Arial"/>
          <w:b/>
          <w:bCs/>
          <w:lang w:val="en-US"/>
        </w:rPr>
      </w:pPr>
      <w:r>
        <w:rPr>
          <w:rFonts w:cs="Arial"/>
          <w:b/>
          <w:bCs/>
          <w:lang w:val="en-US"/>
        </w:rPr>
        <w:t>Step 2: Determination of manure characteristic of targeted animals</w:t>
      </w:r>
    </w:p>
    <w:p w14:paraId="7398C1DB" w14:textId="77777777" w:rsidR="00A53453" w:rsidRDefault="00A53453" w:rsidP="00A53453">
      <w:pPr>
        <w:rPr>
          <w:rFonts w:cs="Arial"/>
        </w:rPr>
      </w:pPr>
      <w:r>
        <w:rPr>
          <w:rFonts w:cs="Arial"/>
        </w:rPr>
        <w:lastRenderedPageBreak/>
        <w:t>Manure characteristics are determined by default IPCC values as no national specific data is available. These include the amount of volatile solids (VS) produced in the manure from animal category T and the maximum amount of methane able to be produced from that manure (B</w:t>
      </w:r>
      <w:r>
        <w:rPr>
          <w:rFonts w:cs="Arial"/>
          <w:vertAlign w:val="subscript"/>
        </w:rPr>
        <w:t>OT</w:t>
      </w:r>
      <w:r w:rsidR="00CB783F">
        <w:rPr>
          <w:rFonts w:cs="Arial"/>
        </w:rPr>
        <w:t xml:space="preserve">). </w:t>
      </w:r>
    </w:p>
    <w:p w14:paraId="4651D775" w14:textId="77777777" w:rsidR="00A53453" w:rsidRDefault="00B53A36" w:rsidP="00CB783F">
      <w:pPr>
        <w:pStyle w:val="Caption"/>
        <w:ind w:hanging="1956"/>
        <w:rPr>
          <w:rFonts w:cs="Arial"/>
          <w:i/>
          <w:iCs/>
        </w:rPr>
      </w:pPr>
      <w:r>
        <w:t xml:space="preserve">Table </w:t>
      </w:r>
      <w:r w:rsidR="00386F9E">
        <w:fldChar w:fldCharType="begin"/>
      </w:r>
      <w:r>
        <w:instrText xml:space="preserve"> SEQ Table \* ARABIC </w:instrText>
      </w:r>
      <w:r w:rsidR="00386F9E">
        <w:fldChar w:fldCharType="separate"/>
      </w:r>
      <w:r w:rsidR="00FE38F8">
        <w:rPr>
          <w:noProof/>
        </w:rPr>
        <w:t>9</w:t>
      </w:r>
      <w:r w:rsidR="00386F9E">
        <w:fldChar w:fldCharType="end"/>
      </w:r>
      <w:r>
        <w:t xml:space="preserve"> </w:t>
      </w:r>
      <w:r w:rsidR="00A53453" w:rsidRPr="00CB783F">
        <w:rPr>
          <w:rFonts w:cs="Arial"/>
          <w:b w:val="0"/>
          <w:i/>
          <w:iCs/>
        </w:rPr>
        <w:t>Manure characteristics of different livestock categories</w:t>
      </w:r>
      <w:r w:rsidR="00A53453" w:rsidRPr="00CB783F">
        <w:rPr>
          <w:rStyle w:val="FootnoteReference"/>
          <w:rFonts w:cs="Arial"/>
          <w:b w:val="0"/>
          <w:i/>
          <w:iCs/>
        </w:rPr>
        <w:footnoteReference w:id="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tblGrid>
      <w:tr w:rsidR="00A53453" w14:paraId="74C30D23" w14:textId="77777777" w:rsidTr="00A53453">
        <w:tc>
          <w:tcPr>
            <w:tcW w:w="2392" w:type="dxa"/>
            <w:tcBorders>
              <w:top w:val="single" w:sz="4" w:space="0" w:color="auto"/>
              <w:left w:val="single" w:sz="4" w:space="0" w:color="auto"/>
              <w:bottom w:val="single" w:sz="4" w:space="0" w:color="auto"/>
              <w:right w:val="single" w:sz="4" w:space="0" w:color="auto"/>
            </w:tcBorders>
            <w:shd w:val="clear" w:color="auto" w:fill="D9D9D9"/>
            <w:hideMark/>
          </w:tcPr>
          <w:p w14:paraId="4CC388BB" w14:textId="77777777" w:rsidR="00A53453" w:rsidRDefault="00A53453">
            <w:pPr>
              <w:rPr>
                <w:rFonts w:cs="Arial"/>
                <w:b/>
              </w:rPr>
            </w:pPr>
            <w:r>
              <w:rPr>
                <w:rFonts w:cs="Arial"/>
                <w:b/>
              </w:rPr>
              <w:t>Animal type</w:t>
            </w:r>
          </w:p>
        </w:tc>
        <w:tc>
          <w:tcPr>
            <w:tcW w:w="2393" w:type="dxa"/>
            <w:tcBorders>
              <w:top w:val="single" w:sz="4" w:space="0" w:color="auto"/>
              <w:left w:val="single" w:sz="4" w:space="0" w:color="auto"/>
              <w:bottom w:val="single" w:sz="4" w:space="0" w:color="auto"/>
              <w:right w:val="single" w:sz="4" w:space="0" w:color="auto"/>
            </w:tcBorders>
            <w:shd w:val="clear" w:color="auto" w:fill="D9D9D9"/>
            <w:hideMark/>
          </w:tcPr>
          <w:p w14:paraId="046156FD" w14:textId="77777777" w:rsidR="00A53453" w:rsidRDefault="00A53453">
            <w:pPr>
              <w:rPr>
                <w:rFonts w:cs="Arial"/>
              </w:rPr>
            </w:pPr>
            <w:r>
              <w:rPr>
                <w:rFonts w:cs="Arial"/>
                <w:b/>
              </w:rPr>
              <w:t>VS</w:t>
            </w:r>
            <w:r>
              <w:rPr>
                <w:rFonts w:cs="Arial"/>
              </w:rPr>
              <w:t xml:space="preserve"> (kg/head/day)</w:t>
            </w:r>
          </w:p>
        </w:tc>
        <w:tc>
          <w:tcPr>
            <w:tcW w:w="2393" w:type="dxa"/>
            <w:tcBorders>
              <w:top w:val="single" w:sz="4" w:space="0" w:color="auto"/>
              <w:left w:val="single" w:sz="4" w:space="0" w:color="auto"/>
              <w:bottom w:val="single" w:sz="4" w:space="0" w:color="auto"/>
              <w:right w:val="single" w:sz="4" w:space="0" w:color="auto"/>
            </w:tcBorders>
            <w:shd w:val="clear" w:color="auto" w:fill="D9D9D9"/>
            <w:hideMark/>
          </w:tcPr>
          <w:p w14:paraId="2552CE5A" w14:textId="77777777" w:rsidR="00A53453" w:rsidRDefault="00A53453">
            <w:pPr>
              <w:rPr>
                <w:rFonts w:cs="Arial"/>
              </w:rPr>
            </w:pPr>
            <w:r>
              <w:rPr>
                <w:rFonts w:cs="Arial"/>
                <w:b/>
              </w:rPr>
              <w:t>B</w:t>
            </w:r>
            <w:r>
              <w:rPr>
                <w:rFonts w:cs="Arial"/>
                <w:b/>
                <w:vertAlign w:val="subscript"/>
              </w:rPr>
              <w:t>O</w:t>
            </w:r>
            <w:r>
              <w:rPr>
                <w:rFonts w:cs="Arial"/>
              </w:rPr>
              <w:t xml:space="preserve"> (m</w:t>
            </w:r>
            <w:r>
              <w:rPr>
                <w:rFonts w:cs="Arial"/>
                <w:vertAlign w:val="superscript"/>
              </w:rPr>
              <w:t>3</w:t>
            </w:r>
            <w:r>
              <w:rPr>
                <w:rFonts w:cs="Arial"/>
              </w:rPr>
              <w:t xml:space="preserve"> CH</w:t>
            </w:r>
            <w:r>
              <w:rPr>
                <w:rFonts w:cs="Arial"/>
                <w:vertAlign w:val="subscript"/>
              </w:rPr>
              <w:t>4</w:t>
            </w:r>
            <w:r>
              <w:rPr>
                <w:rFonts w:cs="Arial"/>
              </w:rPr>
              <w:t>/kg VS)</w:t>
            </w:r>
          </w:p>
        </w:tc>
      </w:tr>
      <w:tr w:rsidR="00A53453" w14:paraId="3D3F93B3" w14:textId="77777777" w:rsidTr="00A53453">
        <w:tc>
          <w:tcPr>
            <w:tcW w:w="2392" w:type="dxa"/>
            <w:tcBorders>
              <w:top w:val="single" w:sz="4" w:space="0" w:color="auto"/>
              <w:left w:val="single" w:sz="4" w:space="0" w:color="auto"/>
              <w:bottom w:val="single" w:sz="4" w:space="0" w:color="auto"/>
              <w:right w:val="single" w:sz="4" w:space="0" w:color="auto"/>
            </w:tcBorders>
            <w:vAlign w:val="center"/>
            <w:hideMark/>
          </w:tcPr>
          <w:p w14:paraId="79DBEBA0" w14:textId="77777777" w:rsidR="00A53453" w:rsidRDefault="00A53453">
            <w:pPr>
              <w:rPr>
                <w:rFonts w:cs="Arial"/>
              </w:rPr>
            </w:pPr>
            <w:r>
              <w:rPr>
                <w:rFonts w:cs="Arial"/>
              </w:rPr>
              <w:t>Dairy Cow</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4EB5955" w14:textId="77777777" w:rsidR="00A53453" w:rsidRDefault="00A53453">
            <w:pPr>
              <w:rPr>
                <w:rFonts w:cs="Arial"/>
              </w:rPr>
            </w:pPr>
            <w:r>
              <w:rPr>
                <w:rFonts w:cs="Arial"/>
              </w:rPr>
              <w:t>1.9</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3CEBD43" w14:textId="77777777" w:rsidR="00A53453" w:rsidRDefault="00A53453">
            <w:pPr>
              <w:rPr>
                <w:rFonts w:cs="Arial"/>
              </w:rPr>
            </w:pPr>
            <w:r>
              <w:rPr>
                <w:rFonts w:cs="Arial"/>
              </w:rPr>
              <w:t>0.13</w:t>
            </w:r>
          </w:p>
        </w:tc>
      </w:tr>
      <w:tr w:rsidR="00A53453" w14:paraId="006D445C" w14:textId="77777777" w:rsidTr="00A53453">
        <w:tc>
          <w:tcPr>
            <w:tcW w:w="2392" w:type="dxa"/>
            <w:tcBorders>
              <w:top w:val="single" w:sz="4" w:space="0" w:color="auto"/>
              <w:left w:val="single" w:sz="4" w:space="0" w:color="auto"/>
              <w:bottom w:val="single" w:sz="4" w:space="0" w:color="auto"/>
              <w:right w:val="single" w:sz="4" w:space="0" w:color="auto"/>
            </w:tcBorders>
            <w:vAlign w:val="center"/>
            <w:hideMark/>
          </w:tcPr>
          <w:p w14:paraId="4B120422" w14:textId="77777777" w:rsidR="00A53453" w:rsidRDefault="00A53453">
            <w:pPr>
              <w:rPr>
                <w:rFonts w:cs="Arial"/>
              </w:rPr>
            </w:pPr>
            <w:r>
              <w:rPr>
                <w:rFonts w:cs="Arial"/>
              </w:rPr>
              <w:t>Goat</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D35587B" w14:textId="77777777" w:rsidR="00A53453" w:rsidRDefault="00A53453">
            <w:pPr>
              <w:rPr>
                <w:rFonts w:cs="Arial"/>
              </w:rPr>
            </w:pPr>
            <w:r>
              <w:rPr>
                <w:rFonts w:cs="Arial"/>
              </w:rPr>
              <w:t>0.35</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2902F23" w14:textId="77777777" w:rsidR="00A53453" w:rsidRDefault="00A53453">
            <w:pPr>
              <w:rPr>
                <w:rFonts w:cs="Arial"/>
              </w:rPr>
            </w:pPr>
            <w:r>
              <w:rPr>
                <w:rFonts w:cs="Arial"/>
              </w:rPr>
              <w:t>0.13</w:t>
            </w:r>
          </w:p>
        </w:tc>
      </w:tr>
      <w:tr w:rsidR="00A53453" w14:paraId="026C22DA" w14:textId="77777777" w:rsidTr="00A53453">
        <w:tc>
          <w:tcPr>
            <w:tcW w:w="2392" w:type="dxa"/>
            <w:tcBorders>
              <w:top w:val="single" w:sz="4" w:space="0" w:color="auto"/>
              <w:left w:val="single" w:sz="4" w:space="0" w:color="auto"/>
              <w:bottom w:val="single" w:sz="4" w:space="0" w:color="auto"/>
              <w:right w:val="single" w:sz="4" w:space="0" w:color="auto"/>
            </w:tcBorders>
            <w:vAlign w:val="center"/>
            <w:hideMark/>
          </w:tcPr>
          <w:p w14:paraId="7AE42D73" w14:textId="77777777" w:rsidR="00A53453" w:rsidRDefault="00A53453">
            <w:pPr>
              <w:rPr>
                <w:rFonts w:cs="Arial"/>
              </w:rPr>
            </w:pPr>
            <w:r>
              <w:rPr>
                <w:rFonts w:cs="Arial"/>
              </w:rPr>
              <w:t>Market swine</w:t>
            </w:r>
          </w:p>
        </w:tc>
        <w:tc>
          <w:tcPr>
            <w:tcW w:w="2393" w:type="dxa"/>
            <w:tcBorders>
              <w:top w:val="single" w:sz="4" w:space="0" w:color="auto"/>
              <w:left w:val="single" w:sz="4" w:space="0" w:color="auto"/>
              <w:bottom w:val="single" w:sz="4" w:space="0" w:color="auto"/>
              <w:right w:val="single" w:sz="4" w:space="0" w:color="auto"/>
            </w:tcBorders>
            <w:vAlign w:val="center"/>
            <w:hideMark/>
          </w:tcPr>
          <w:p w14:paraId="1EB07F2E" w14:textId="77777777" w:rsidR="00A53453" w:rsidRDefault="00A53453">
            <w:pPr>
              <w:rPr>
                <w:rFonts w:cs="Arial"/>
              </w:rPr>
            </w:pPr>
            <w:r>
              <w:rPr>
                <w:rFonts w:cs="Arial"/>
              </w:rPr>
              <w:t>0.3</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40BC406" w14:textId="77777777" w:rsidR="00A53453" w:rsidRDefault="00A53453">
            <w:pPr>
              <w:rPr>
                <w:rFonts w:cs="Arial"/>
              </w:rPr>
            </w:pPr>
            <w:r>
              <w:rPr>
                <w:rFonts w:cs="Arial"/>
              </w:rPr>
              <w:t>0.29</w:t>
            </w:r>
          </w:p>
        </w:tc>
      </w:tr>
      <w:tr w:rsidR="00A53453" w14:paraId="36E473B0" w14:textId="77777777" w:rsidTr="00A53453">
        <w:tc>
          <w:tcPr>
            <w:tcW w:w="2392" w:type="dxa"/>
            <w:tcBorders>
              <w:top w:val="single" w:sz="4" w:space="0" w:color="auto"/>
              <w:left w:val="single" w:sz="4" w:space="0" w:color="auto"/>
              <w:bottom w:val="single" w:sz="4" w:space="0" w:color="auto"/>
              <w:right w:val="single" w:sz="4" w:space="0" w:color="auto"/>
            </w:tcBorders>
            <w:vAlign w:val="center"/>
            <w:hideMark/>
          </w:tcPr>
          <w:p w14:paraId="0981C4AA" w14:textId="77777777" w:rsidR="00A53453" w:rsidRDefault="00A53453">
            <w:pPr>
              <w:rPr>
                <w:rFonts w:cs="Arial"/>
              </w:rPr>
            </w:pPr>
            <w:r>
              <w:rPr>
                <w:rFonts w:cs="Arial"/>
              </w:rPr>
              <w:t>Sheep</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2625B77" w14:textId="77777777" w:rsidR="00A53453" w:rsidRDefault="00A53453">
            <w:pPr>
              <w:rPr>
                <w:rFonts w:cs="Arial"/>
              </w:rPr>
            </w:pPr>
            <w:r>
              <w:rPr>
                <w:rFonts w:cs="Arial"/>
              </w:rPr>
              <w:t>0.32</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25BCD6C" w14:textId="77777777" w:rsidR="00A53453" w:rsidRDefault="00A53453">
            <w:pPr>
              <w:rPr>
                <w:rFonts w:cs="Arial"/>
              </w:rPr>
            </w:pPr>
            <w:r>
              <w:rPr>
                <w:rFonts w:cs="Arial"/>
              </w:rPr>
              <w:t>0.13</w:t>
            </w:r>
          </w:p>
        </w:tc>
      </w:tr>
      <w:tr w:rsidR="00A53453" w14:paraId="7C797E3B" w14:textId="77777777" w:rsidTr="00A53453">
        <w:tc>
          <w:tcPr>
            <w:tcW w:w="2392" w:type="dxa"/>
            <w:tcBorders>
              <w:top w:val="single" w:sz="4" w:space="0" w:color="auto"/>
              <w:left w:val="single" w:sz="4" w:space="0" w:color="auto"/>
              <w:bottom w:val="single" w:sz="4" w:space="0" w:color="auto"/>
              <w:right w:val="single" w:sz="4" w:space="0" w:color="auto"/>
            </w:tcBorders>
            <w:vAlign w:val="center"/>
            <w:hideMark/>
          </w:tcPr>
          <w:p w14:paraId="7536FD67" w14:textId="77777777" w:rsidR="00A53453" w:rsidRDefault="00A53453">
            <w:pPr>
              <w:rPr>
                <w:rFonts w:cs="Arial"/>
              </w:rPr>
            </w:pPr>
            <w:r>
              <w:rPr>
                <w:rFonts w:cs="Arial"/>
              </w:rPr>
              <w:t>Other cattle</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9A449C9" w14:textId="77777777" w:rsidR="00A53453" w:rsidRDefault="00A53453">
            <w:pPr>
              <w:rPr>
                <w:rFonts w:cs="Arial"/>
              </w:rPr>
            </w:pPr>
            <w:r>
              <w:rPr>
                <w:rFonts w:cs="Arial"/>
              </w:rPr>
              <w:t>1.5</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EAF771E" w14:textId="77777777" w:rsidR="00A53453" w:rsidRDefault="00A53453">
            <w:pPr>
              <w:rPr>
                <w:rFonts w:cs="Arial"/>
              </w:rPr>
            </w:pPr>
            <w:r>
              <w:rPr>
                <w:rFonts w:cs="Arial"/>
              </w:rPr>
              <w:t>0.1</w:t>
            </w:r>
          </w:p>
        </w:tc>
      </w:tr>
      <w:tr w:rsidR="00A53453" w14:paraId="381BEDFD" w14:textId="77777777" w:rsidTr="00A53453">
        <w:tc>
          <w:tcPr>
            <w:tcW w:w="2392" w:type="dxa"/>
            <w:tcBorders>
              <w:top w:val="single" w:sz="4" w:space="0" w:color="auto"/>
              <w:left w:val="single" w:sz="4" w:space="0" w:color="auto"/>
              <w:bottom w:val="single" w:sz="4" w:space="0" w:color="auto"/>
              <w:right w:val="single" w:sz="4" w:space="0" w:color="auto"/>
            </w:tcBorders>
            <w:vAlign w:val="center"/>
            <w:hideMark/>
          </w:tcPr>
          <w:p w14:paraId="5BEC9072" w14:textId="77777777" w:rsidR="00A53453" w:rsidRDefault="00A53453">
            <w:pPr>
              <w:rPr>
                <w:rFonts w:cs="Arial"/>
              </w:rPr>
            </w:pPr>
            <w:r>
              <w:rPr>
                <w:rFonts w:cs="Arial"/>
              </w:rPr>
              <w:t>Poultry</w:t>
            </w:r>
          </w:p>
        </w:tc>
        <w:tc>
          <w:tcPr>
            <w:tcW w:w="2393" w:type="dxa"/>
            <w:tcBorders>
              <w:top w:val="single" w:sz="4" w:space="0" w:color="auto"/>
              <w:left w:val="single" w:sz="4" w:space="0" w:color="auto"/>
              <w:bottom w:val="single" w:sz="4" w:space="0" w:color="auto"/>
              <w:right w:val="single" w:sz="4" w:space="0" w:color="auto"/>
            </w:tcBorders>
            <w:vAlign w:val="center"/>
            <w:hideMark/>
          </w:tcPr>
          <w:p w14:paraId="1D6E5EBA" w14:textId="77777777" w:rsidR="00A53453" w:rsidRDefault="00A53453">
            <w:pPr>
              <w:rPr>
                <w:rFonts w:cs="Arial"/>
              </w:rPr>
            </w:pPr>
            <w:r>
              <w:rPr>
                <w:rFonts w:cs="Arial"/>
              </w:rPr>
              <w:t>0.01</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E34BBF8" w14:textId="77777777" w:rsidR="00A53453" w:rsidRDefault="00A53453">
            <w:pPr>
              <w:rPr>
                <w:rFonts w:cs="Arial"/>
              </w:rPr>
            </w:pPr>
            <w:r>
              <w:rPr>
                <w:rFonts w:cs="Arial"/>
              </w:rPr>
              <w:t>0.36</w:t>
            </w:r>
          </w:p>
        </w:tc>
      </w:tr>
    </w:tbl>
    <w:p w14:paraId="2285D509" w14:textId="77777777" w:rsidR="00BE6BC7" w:rsidRDefault="00BE6BC7" w:rsidP="00991A48">
      <w:pPr>
        <w:rPr>
          <w:rFonts w:cs="Arial"/>
          <w:lang w:eastAsia="en-US"/>
        </w:rPr>
      </w:pPr>
    </w:p>
    <w:p w14:paraId="034A70BF" w14:textId="77777777" w:rsidR="00A53453" w:rsidRDefault="00A53453" w:rsidP="00A53453">
      <w:pPr>
        <w:rPr>
          <w:rFonts w:cs="Arial"/>
          <w:b/>
          <w:bCs/>
          <w:lang w:val="en-US"/>
        </w:rPr>
      </w:pPr>
      <w:r>
        <w:rPr>
          <w:rFonts w:cs="Arial"/>
          <w:b/>
          <w:bCs/>
          <w:lang w:val="en-US"/>
        </w:rPr>
        <w:t>Step 3: Determination of the applicable Methane Conversion Factor (MCF)</w:t>
      </w:r>
    </w:p>
    <w:p w14:paraId="59D404E2" w14:textId="77777777" w:rsidR="00A53453" w:rsidRDefault="00A53453" w:rsidP="00A53453">
      <w:pPr>
        <w:rPr>
          <w:rFonts w:cs="Arial"/>
        </w:rPr>
      </w:pPr>
      <w:r>
        <w:rPr>
          <w:rFonts w:cs="Arial"/>
          <w:lang w:val="en-US"/>
        </w:rPr>
        <w:t>The system-specific methane conversion factors applicable to the baseline are provided in the IPCC Guidelines for National Greenhouse Gas Inventories</w:t>
      </w:r>
      <w:r>
        <w:rPr>
          <w:rFonts w:cs="Arial"/>
          <w:vertAlign w:val="superscript"/>
          <w:lang w:val="en-US"/>
        </w:rPr>
        <w:footnoteReference w:id="26"/>
      </w:r>
      <w:r>
        <w:rPr>
          <w:rFonts w:cs="Arial"/>
          <w:lang w:val="en-US"/>
        </w:rPr>
        <w:t xml:space="preserve">. </w:t>
      </w:r>
      <w:r>
        <w:rPr>
          <w:rFonts w:cs="Arial"/>
        </w:rPr>
        <w:t xml:space="preserve">The applicable MCF is chosen from the default values presented in Table 10.17, Chapter 10, Volume 4 of the 2006 IPCC Guidelines. Average temperatures are defined </w:t>
      </w:r>
      <w:r w:rsidR="00E464D5">
        <w:rPr>
          <w:rFonts w:cs="Arial"/>
        </w:rPr>
        <w:t>at the country level.</w:t>
      </w:r>
      <w:r w:rsidR="00E464D5">
        <w:rPr>
          <w:rFonts w:cs="Arial"/>
          <w:lang w:eastAsia="en-US"/>
        </w:rPr>
        <w:t xml:space="preserve"> </w:t>
      </w:r>
      <w:r w:rsidR="009E2C68">
        <w:rPr>
          <w:rFonts w:cs="Arial"/>
        </w:rPr>
        <w:t>The resulting average MCF is 3.39</w:t>
      </w:r>
      <w:r>
        <w:rPr>
          <w:rFonts w:cs="Arial"/>
        </w:rPr>
        <w:t>%.</w:t>
      </w:r>
    </w:p>
    <w:p w14:paraId="35CC4678" w14:textId="77777777" w:rsidR="00A53453" w:rsidRDefault="00A53453" w:rsidP="00991A48">
      <w:pPr>
        <w:rPr>
          <w:rFonts w:cs="Arial"/>
          <w:lang w:eastAsia="en-US"/>
        </w:rPr>
      </w:pPr>
    </w:p>
    <w:p w14:paraId="78B83771" w14:textId="77777777" w:rsidR="00A53453" w:rsidRPr="00E246BC" w:rsidRDefault="00E464D5" w:rsidP="00991A48">
      <w:pPr>
        <w:rPr>
          <w:rFonts w:cs="Arial"/>
          <w:b/>
          <w:lang w:eastAsia="en-US"/>
        </w:rPr>
      </w:pPr>
      <w:r w:rsidRPr="00E246BC">
        <w:rPr>
          <w:rFonts w:cs="Arial"/>
          <w:b/>
          <w:lang w:eastAsia="en-US"/>
        </w:rPr>
        <w:t>Step 4: Determining baseline emissions from manure handling</w:t>
      </w:r>
    </w:p>
    <w:p w14:paraId="4E33DFB0" w14:textId="77777777" w:rsidR="00A53453" w:rsidRDefault="00A53453" w:rsidP="00A53453">
      <w:pPr>
        <w:rPr>
          <w:rFonts w:cs="Arial"/>
          <w:b/>
          <w:bCs/>
          <w:iCs/>
        </w:rPr>
      </w:pPr>
      <w:r>
        <w:rPr>
          <w:rFonts w:cs="Arial"/>
          <w:iCs/>
        </w:rPr>
        <w:t xml:space="preserve">With the data from the previous tables the baseline emission can be determined. The emission per household of all the animals under the VPA are calculated and depicted in the next table. </w:t>
      </w:r>
    </w:p>
    <w:p w14:paraId="371943AC" w14:textId="77777777" w:rsidR="00A53453" w:rsidRDefault="00A53453" w:rsidP="00A53453">
      <w:pPr>
        <w:rPr>
          <w:rFonts w:cs="Arial"/>
        </w:rPr>
      </w:pPr>
    </w:p>
    <w:p w14:paraId="5F45E411" w14:textId="77777777" w:rsidR="00A53453" w:rsidRDefault="00A53453" w:rsidP="00A53453">
      <w:pPr>
        <w:rPr>
          <w:rFonts w:cs="Arial"/>
        </w:rPr>
      </w:pPr>
      <w:r>
        <w:rPr>
          <w:rFonts w:cs="Arial"/>
        </w:rPr>
        <w:t>The baseline methane emissions per household per year</w:t>
      </w:r>
      <w:r>
        <w:rPr>
          <w:rFonts w:cs="Arial"/>
          <w:i/>
        </w:rPr>
        <w:t xml:space="preserve"> </w:t>
      </w:r>
      <w:r>
        <w:rPr>
          <w:rFonts w:cs="Arial"/>
        </w:rPr>
        <w:t>under the VPA006 are</w:t>
      </w:r>
      <w:r>
        <w:rPr>
          <w:rFonts w:cs="Arial"/>
          <w:vertAlign w:val="superscript"/>
        </w:rPr>
        <w:footnoteReference w:id="27"/>
      </w:r>
      <w:r>
        <w:rPr>
          <w:rFonts w:cs="Arial"/>
        </w:rPr>
        <w:t>:</w:t>
      </w:r>
    </w:p>
    <w:p w14:paraId="174B3E10" w14:textId="77777777" w:rsidR="000D3B54" w:rsidRDefault="000D3B54" w:rsidP="00A53453">
      <w:pPr>
        <w:rPr>
          <w:rFonts w:cs="Arial"/>
        </w:rPr>
      </w:pPr>
    </w:p>
    <w:p w14:paraId="3C98B624" w14:textId="77777777" w:rsidR="00485AB7" w:rsidRDefault="00485AB7" w:rsidP="00A53453">
      <w:pPr>
        <w:rPr>
          <w:rFonts w:cs="Arial"/>
        </w:rPr>
      </w:pPr>
      <w:r w:rsidRPr="009E2C68">
        <w:rPr>
          <w:rFonts w:cs="Arial"/>
        </w:rPr>
        <w:t>1.85 * 0.00067 * 3.39% * 1 * 2</w:t>
      </w:r>
      <w:r w:rsidR="009E2C68">
        <w:rPr>
          <w:rFonts w:cs="Arial"/>
        </w:rPr>
        <w:t>5 = 0.382</w:t>
      </w:r>
      <w:r w:rsidRPr="009E2C68">
        <w:rPr>
          <w:rFonts w:cs="Arial"/>
        </w:rPr>
        <w:t xml:space="preserve"> tCO</w:t>
      </w:r>
      <w:r w:rsidRPr="009E2C68">
        <w:rPr>
          <w:rFonts w:cs="Arial"/>
          <w:vertAlign w:val="subscript"/>
        </w:rPr>
        <w:t>2</w:t>
      </w:r>
      <w:r w:rsidRPr="009E2C68">
        <w:rPr>
          <w:rFonts w:cs="Arial"/>
        </w:rPr>
        <w:t>e/year</w:t>
      </w:r>
    </w:p>
    <w:p w14:paraId="4990641C" w14:textId="77777777" w:rsidR="009E2C68" w:rsidRDefault="009E2C68" w:rsidP="00A53453">
      <w:pPr>
        <w:rPr>
          <w:rFonts w:cs="Arial"/>
        </w:rPr>
      </w:pPr>
    </w:p>
    <w:p w14:paraId="435D68A1" w14:textId="77777777" w:rsidR="000D3B54" w:rsidRDefault="000D3B54" w:rsidP="00A53453">
      <w:pPr>
        <w:rPr>
          <w:rFonts w:cs="Arial"/>
        </w:rPr>
      </w:pPr>
    </w:p>
    <w:p w14:paraId="7183B5E3" w14:textId="77777777" w:rsidR="00E464D5" w:rsidRPr="00956C76" w:rsidRDefault="00E464D5" w:rsidP="00E464D5">
      <w:pPr>
        <w:rPr>
          <w:rFonts w:cs="Arial"/>
          <w:b/>
          <w:lang w:eastAsia="en-US"/>
        </w:rPr>
      </w:pPr>
      <w:r w:rsidRPr="00956C76">
        <w:rPr>
          <w:rFonts w:cs="Arial"/>
          <w:b/>
          <w:lang w:eastAsia="en-US"/>
        </w:rPr>
        <w:t xml:space="preserve">Step </w:t>
      </w:r>
      <w:r>
        <w:rPr>
          <w:rFonts w:cs="Arial"/>
          <w:b/>
          <w:lang w:eastAsia="en-US"/>
        </w:rPr>
        <w:t>5</w:t>
      </w:r>
      <w:r w:rsidRPr="00956C76">
        <w:rPr>
          <w:rFonts w:cs="Arial"/>
          <w:b/>
          <w:lang w:eastAsia="en-US"/>
        </w:rPr>
        <w:t xml:space="preserve">: Determining </w:t>
      </w:r>
      <w:r>
        <w:rPr>
          <w:rFonts w:cs="Arial"/>
          <w:b/>
          <w:lang w:eastAsia="en-US"/>
        </w:rPr>
        <w:t>project</w:t>
      </w:r>
      <w:r w:rsidRPr="00956C76">
        <w:rPr>
          <w:rFonts w:cs="Arial"/>
          <w:b/>
          <w:lang w:eastAsia="en-US"/>
        </w:rPr>
        <w:t xml:space="preserve"> emissions from manure handling</w:t>
      </w:r>
    </w:p>
    <w:p w14:paraId="64E5B7A7" w14:textId="77777777" w:rsidR="00E464D5" w:rsidRDefault="00E464D5" w:rsidP="00A53453">
      <w:pPr>
        <w:rPr>
          <w:rFonts w:cs="Arial"/>
        </w:rPr>
      </w:pPr>
    </w:p>
    <w:p w14:paraId="5BC37AFA" w14:textId="77777777" w:rsidR="003E0E9E" w:rsidRDefault="003E0E9E" w:rsidP="003E0E9E">
      <w:r>
        <w:t>Project emissions of the methane avoidance component include both the physical leakage of biogas from the biodigester and the incomplete combustion of biogas. These shall be accounted for in accordance with equation (8) of the PoA-DD:</w:t>
      </w:r>
    </w:p>
    <w:p w14:paraId="7551A594" w14:textId="77777777" w:rsidR="003E0E9E" w:rsidRDefault="00386F9E" w:rsidP="003E0E9E">
      <w:r>
        <w:rPr>
          <w:sz w:val="20"/>
          <w:szCs w:val="18"/>
        </w:rPr>
        <w:fldChar w:fldCharType="begin"/>
      </w:r>
      <w:r w:rsidR="003E0E9E">
        <w:rPr>
          <w:sz w:val="20"/>
          <w:szCs w:val="18"/>
        </w:rPr>
        <w:instrText xml:space="preserve"> QUOTE </w:instrText>
      </w:r>
      <w:r w:rsidR="003E0E9E" w:rsidRPr="001E0142">
        <w:rPr>
          <w:rFonts w:ascii="Cambria Math" w:hAnsi="Cambria Math"/>
          <w:sz w:val="20"/>
          <w:szCs w:val="18"/>
        </w:rPr>
        <w:instrText>PECH4,y</w:instrText>
      </w:r>
      <w:r w:rsidR="003E0E9E" w:rsidRPr="003E0E9E">
        <w:rPr>
          <w:rFonts w:ascii="Cambria Math" w:hAnsi="Cambria Math"/>
          <w:sz w:val="20"/>
          <w:szCs w:val="18"/>
        </w:rPr>
        <w:instrText>=</w:instrText>
      </w:r>
      <w:r w:rsidR="003E0E9E" w:rsidRPr="001E0142">
        <w:rPr>
          <w:rFonts w:ascii="Cambria Math" w:hAnsi="Cambria Math"/>
          <w:sz w:val="20"/>
          <w:szCs w:val="18"/>
        </w:rPr>
        <w:instrText>GWPCH4</w:instrText>
      </w:r>
      <w:r w:rsidR="003E0E9E" w:rsidRPr="003E0E9E">
        <w:rPr>
          <w:rFonts w:ascii="Cambria Math" w:hAnsi="Cambria Math"/>
          <w:sz w:val="20"/>
          <w:szCs w:val="18"/>
        </w:rPr>
        <w:instrText>*</w:instrText>
      </w:r>
      <w:r w:rsidR="003E0E9E" w:rsidRPr="001E0142">
        <w:rPr>
          <w:rFonts w:ascii="Cambria Math" w:hAnsi="Cambria Math"/>
          <w:sz w:val="20"/>
          <w:szCs w:val="18"/>
        </w:rPr>
        <w:instrText xml:space="preserve"> ( NT, h,y</w:instrText>
      </w:r>
      <w:r w:rsidR="003E0E9E" w:rsidRPr="003E0E9E">
        <w:rPr>
          <w:rFonts w:ascii="Cambria Math" w:hAnsi="Cambria Math"/>
          <w:sz w:val="20"/>
          <w:szCs w:val="18"/>
        </w:rPr>
        <w:instrText>*</w:instrText>
      </w:r>
      <w:r w:rsidR="003E0E9E" w:rsidRPr="001E0142">
        <w:rPr>
          <w:rFonts w:ascii="Cambria Math" w:hAnsi="Cambria Math"/>
          <w:sz w:val="20"/>
          <w:szCs w:val="18"/>
        </w:rPr>
        <w:instrText>EFawms,T</w:instrText>
      </w:r>
      <w:r w:rsidR="003E0E9E" w:rsidRPr="003E0E9E">
        <w:rPr>
          <w:rFonts w:ascii="Cambria Math" w:hAnsi="Cambria Math"/>
          <w:sz w:val="20"/>
          <w:szCs w:val="18"/>
        </w:rPr>
        <w:instrText xml:space="preserve">)* </w:instrText>
      </w:r>
      <w:r w:rsidR="003E0E9E" w:rsidRPr="001E0142">
        <w:rPr>
          <w:rFonts w:ascii="Cambria Math" w:hAnsi="Cambria Math"/>
          <w:sz w:val="20"/>
          <w:szCs w:val="18"/>
        </w:rPr>
        <w:instrText>PLy</w:instrText>
      </w:r>
      <w:r w:rsidR="003E0E9E" w:rsidRPr="003E0E9E">
        <w:rPr>
          <w:rFonts w:ascii="Cambria Math" w:hAnsi="Cambria Math"/>
          <w:sz w:val="20"/>
          <w:szCs w:val="18"/>
        </w:rPr>
        <w:instrText>+</w:instrText>
      </w:r>
      <w:r w:rsidR="003E0E9E" w:rsidRPr="001E0142">
        <w:rPr>
          <w:rFonts w:ascii="Cambria Math" w:hAnsi="Cambria Math"/>
          <w:sz w:val="20"/>
          <w:szCs w:val="18"/>
        </w:rPr>
        <w:instrText xml:space="preserve">  ( NT, h,y</w:instrText>
      </w:r>
      <w:r w:rsidR="003E0E9E" w:rsidRPr="003E0E9E">
        <w:rPr>
          <w:rFonts w:ascii="Cambria Math" w:hAnsi="Cambria Math"/>
          <w:sz w:val="20"/>
          <w:szCs w:val="18"/>
        </w:rPr>
        <w:instrText>*</w:instrText>
      </w:r>
      <w:r w:rsidR="003E0E9E" w:rsidRPr="001E0142">
        <w:rPr>
          <w:rFonts w:ascii="Cambria Math" w:hAnsi="Cambria Math"/>
          <w:sz w:val="20"/>
          <w:szCs w:val="18"/>
        </w:rPr>
        <w:instrText>EFawms,T</w:instrText>
      </w:r>
      <w:r w:rsidR="003E0E9E" w:rsidRPr="003E0E9E">
        <w:rPr>
          <w:rFonts w:ascii="Cambria Math" w:hAnsi="Cambria Math"/>
          <w:sz w:val="20"/>
          <w:szCs w:val="18"/>
        </w:rPr>
        <w:instrText xml:space="preserve">)*(1- </w:instrText>
      </w:r>
      <w:r w:rsidR="003E0E9E" w:rsidRPr="001E0142">
        <w:rPr>
          <w:rFonts w:ascii="Cambria Math" w:hAnsi="Cambria Math"/>
          <w:sz w:val="20"/>
          <w:szCs w:val="18"/>
        </w:rPr>
        <w:instrText>ηnew stove</w:instrText>
      </w:r>
      <w:r w:rsidR="003E0E9E" w:rsidRPr="003E0E9E">
        <w:rPr>
          <w:rFonts w:ascii="Cambria Math" w:hAnsi="Cambria Math"/>
          <w:sz w:val="20"/>
          <w:szCs w:val="18"/>
        </w:rPr>
        <w:instrText xml:space="preserve">) (1- </w:instrText>
      </w:r>
      <w:r w:rsidR="003E0E9E" w:rsidRPr="001E0142">
        <w:rPr>
          <w:rFonts w:ascii="Cambria Math" w:hAnsi="Cambria Math"/>
          <w:sz w:val="20"/>
          <w:szCs w:val="18"/>
        </w:rPr>
        <w:instrText>PLy</w:instrText>
      </w:r>
      <w:r w:rsidR="003E0E9E" w:rsidRPr="003E0E9E">
        <w:rPr>
          <w:rFonts w:ascii="Cambria Math" w:hAnsi="Cambria Math"/>
          <w:sz w:val="20"/>
          <w:szCs w:val="18"/>
        </w:rPr>
        <w:instrText>)</w:instrText>
      </w:r>
      <w:r w:rsidR="003E0E9E">
        <w:rPr>
          <w:sz w:val="20"/>
          <w:szCs w:val="18"/>
        </w:rPr>
        <w:instrText xml:space="preserve"> </w:instrText>
      </w:r>
      <w:r>
        <w:rPr>
          <w:sz w:val="20"/>
          <w:szCs w:val="18"/>
        </w:rPr>
        <w:fldChar w:fldCharType="end"/>
      </w:r>
    </w:p>
    <w:p w14:paraId="584A1A06" w14:textId="77777777" w:rsidR="003E0E9E" w:rsidRDefault="00B964EE" w:rsidP="003E0E9E">
      <w:pPr>
        <w:spacing w:before="120" w:after="120"/>
        <w:rPr>
          <w:rFonts w:ascii="AENOR Fontana ND" w:hAnsi="AENOR Fontana ND"/>
          <w:color w:val="000000"/>
          <w:sz w:val="26"/>
          <w:lang w:val="en-US"/>
        </w:rPr>
      </w:pPr>
      <m:oMath>
        <m:sSub>
          <m:sSubPr>
            <m:ctrlPr>
              <w:rPr>
                <w:rFonts w:ascii="Cambria Math" w:hAnsi="Cambria Math"/>
                <w:b/>
                <w:sz w:val="18"/>
                <w:szCs w:val="18"/>
              </w:rPr>
            </m:ctrlPr>
          </m:sSubPr>
          <m:e>
            <m:r>
              <m:rPr>
                <m:sty m:val="b"/>
              </m:rPr>
              <w:rPr>
                <w:rFonts w:ascii="Cambria Math" w:hAnsi="Cambria Math"/>
                <w:sz w:val="18"/>
                <w:szCs w:val="18"/>
              </w:rPr>
              <m:t>PE</m:t>
            </m:r>
          </m:e>
          <m:sub>
            <m:r>
              <m:rPr>
                <m:sty m:val="b"/>
              </m:rPr>
              <w:rPr>
                <w:rFonts w:ascii="Cambria Math" w:hAnsi="Cambria Math"/>
                <w:sz w:val="18"/>
                <w:szCs w:val="18"/>
              </w:rPr>
              <m:t>p,CH4,y</m:t>
            </m:r>
          </m:sub>
        </m:sSub>
        <m:r>
          <m:rPr>
            <m:sty m:val="bi"/>
          </m:rPr>
          <w:rPr>
            <w:rFonts w:ascii="Cambria Math" w:hAnsi="Cambria Math"/>
            <w:sz w:val="18"/>
            <w:szCs w:val="18"/>
          </w:rPr>
          <m:t>=</m:t>
        </m:r>
        <m:sSub>
          <m:sSubPr>
            <m:ctrlPr>
              <w:rPr>
                <w:rFonts w:ascii="Cambria Math" w:eastAsia="Calibri" w:hAnsi="Cambria Math"/>
                <w:sz w:val="18"/>
                <w:szCs w:val="18"/>
                <w:lang w:val="de-DE"/>
              </w:rPr>
            </m:ctrlPr>
          </m:sSubPr>
          <m:e>
            <m:r>
              <m:rPr>
                <m:sty m:val="p"/>
              </m:rPr>
              <w:rPr>
                <w:rFonts w:ascii="Cambria Math" w:hAnsi="Cambria Math"/>
                <w:sz w:val="18"/>
                <w:szCs w:val="18"/>
              </w:rPr>
              <m:t>GWP</m:t>
            </m:r>
          </m:e>
          <m:sub>
            <m:r>
              <m:rPr>
                <m:sty m:val="p"/>
              </m:rPr>
              <w:rPr>
                <w:rFonts w:ascii="Cambria Math" w:hAnsi="Cambria Math"/>
                <w:sz w:val="18"/>
                <w:szCs w:val="18"/>
              </w:rPr>
              <m:t>CH4</m:t>
            </m:r>
          </m:sub>
        </m:sSub>
        <m:r>
          <m:rPr>
            <m:sty m:val="bi"/>
          </m:rPr>
          <w:rPr>
            <w:rFonts w:ascii="Cambria Math" w:hAnsi="Cambria Math"/>
            <w:sz w:val="18"/>
            <w:szCs w:val="18"/>
          </w:rPr>
          <m:t>*</m:t>
        </m:r>
        <m:nary>
          <m:naryPr>
            <m:chr m:val="∑"/>
            <m:limLoc m:val="subSup"/>
            <m:supHide m:val="1"/>
            <m:ctrlPr>
              <w:rPr>
                <w:rFonts w:ascii="Cambria Math" w:hAnsi="Cambria Math"/>
                <w:b/>
                <w:i/>
                <w:sz w:val="18"/>
                <w:szCs w:val="18"/>
              </w:rPr>
            </m:ctrlPr>
          </m:naryPr>
          <m:sub>
            <m:r>
              <m:rPr>
                <m:sty m:val="bi"/>
              </m:rPr>
              <w:rPr>
                <w:rFonts w:ascii="Cambria Math" w:hAnsi="Cambria Math"/>
                <w:sz w:val="18"/>
                <w:szCs w:val="18"/>
              </w:rPr>
              <m:t xml:space="preserve"> </m:t>
            </m:r>
          </m:sub>
          <m:sup/>
          <m:e>
            <m:r>
              <m:rPr>
                <m:sty m:val="bi"/>
              </m:rPr>
              <w:rPr>
                <w:rFonts w:ascii="Cambria Math" w:hAnsi="Cambria Math"/>
                <w:sz w:val="18"/>
                <w:szCs w:val="18"/>
              </w:rPr>
              <m:t xml:space="preserve">( </m:t>
            </m:r>
            <m:sSub>
              <m:sSubPr>
                <m:ctrlPr>
                  <w:rPr>
                    <w:rFonts w:ascii="Cambria Math" w:hAnsi="Cambria Math"/>
                    <w:b/>
                    <w:i/>
                    <w:sz w:val="18"/>
                    <w:szCs w:val="18"/>
                  </w:rPr>
                </m:ctrlPr>
              </m:sSubPr>
              <m:e>
                <m:r>
                  <m:rPr>
                    <m:sty m:val="p"/>
                  </m:rPr>
                  <w:rPr>
                    <w:rFonts w:ascii="Cambria Math" w:hAnsi="Cambria Math"/>
                    <w:sz w:val="18"/>
                    <w:szCs w:val="18"/>
                  </w:rPr>
                  <m:t>N</m:t>
                </m:r>
              </m:e>
              <m:sub>
                <m:r>
                  <m:rPr>
                    <m:sty m:val="p"/>
                  </m:rPr>
                  <w:rPr>
                    <w:rFonts w:ascii="Cambria Math" w:hAnsi="Cambria Math"/>
                    <w:sz w:val="18"/>
                    <w:szCs w:val="18"/>
                  </w:rPr>
                  <m:t>T, h,y</m:t>
                </m:r>
              </m:sub>
            </m:sSub>
          </m:e>
        </m:nary>
        <m:r>
          <m:rPr>
            <m:sty m:val="bi"/>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EF</m:t>
            </m:r>
          </m:e>
          <m:sub>
            <m:r>
              <m:rPr>
                <m:sty m:val="p"/>
              </m:rPr>
              <w:rPr>
                <w:rFonts w:ascii="Cambria Math" w:hAnsi="Cambria Math"/>
                <w:sz w:val="18"/>
                <w:szCs w:val="18"/>
              </w:rPr>
              <m:t>awms,T</m:t>
            </m:r>
          </m:sub>
        </m:sSub>
        <m:r>
          <m:rPr>
            <m:sty m:val="p"/>
          </m:rPr>
          <w:rPr>
            <w:rFonts w:ascii="Cambria Math" w:hAnsi="Cambria Math"/>
            <w:sz w:val="18"/>
            <w:szCs w:val="18"/>
          </w:rPr>
          <m:t xml:space="preserve">)* </m:t>
        </m:r>
        <m:sSub>
          <m:sSubPr>
            <m:ctrlPr>
              <w:rPr>
                <w:rFonts w:ascii="Cambria Math" w:eastAsia="Calibri" w:hAnsi="Cambria Math"/>
                <w:sz w:val="18"/>
                <w:szCs w:val="18"/>
                <w:lang w:val="de-DE"/>
              </w:rPr>
            </m:ctrlPr>
          </m:sSubPr>
          <m:e>
            <m:r>
              <m:rPr>
                <m:sty m:val="p"/>
              </m:rPr>
              <w:rPr>
                <w:rFonts w:ascii="Cambria Math" w:hAnsi="Cambria Math"/>
                <w:sz w:val="18"/>
                <w:szCs w:val="18"/>
              </w:rPr>
              <m:t>PL</m:t>
            </m:r>
          </m:e>
          <m:sub>
            <m:r>
              <m:rPr>
                <m:sty m:val="p"/>
              </m:rPr>
              <w:rPr>
                <w:rFonts w:ascii="Cambria Math" w:hAnsi="Cambria Math"/>
                <w:sz w:val="18"/>
                <w:szCs w:val="18"/>
              </w:rPr>
              <m:t>y</m:t>
            </m:r>
          </m:sub>
        </m:sSub>
        <m:r>
          <w:rPr>
            <w:rFonts w:ascii="Cambria Math" w:hAnsi="Cambria Math"/>
            <w:sz w:val="18"/>
            <w:szCs w:val="18"/>
          </w:rPr>
          <m:t>+</m:t>
        </m:r>
        <m:nary>
          <m:naryPr>
            <m:chr m:val="∑"/>
            <m:limLoc m:val="subSup"/>
            <m:supHide m:val="1"/>
            <m:ctrlPr>
              <w:rPr>
                <w:rFonts w:ascii="Cambria Math" w:hAnsi="Cambria Math"/>
                <w:b/>
                <w:i/>
                <w:sz w:val="18"/>
                <w:szCs w:val="18"/>
              </w:rPr>
            </m:ctrlPr>
          </m:naryPr>
          <m:sub>
            <m:r>
              <m:rPr>
                <m:sty m:val="p"/>
              </m:rPr>
              <w:rPr>
                <w:rFonts w:ascii="Cambria Math" w:hAnsi="Cambria Math"/>
                <w:sz w:val="18"/>
                <w:szCs w:val="18"/>
              </w:rPr>
              <m:t xml:space="preserve">  </m:t>
            </m:r>
          </m:sub>
          <m:sup/>
          <m:e>
            <m:r>
              <m:rPr>
                <m:sty m:val="bi"/>
              </m:rPr>
              <w:rPr>
                <w:rFonts w:ascii="Cambria Math" w:hAnsi="Cambria Math"/>
                <w:sz w:val="18"/>
                <w:szCs w:val="18"/>
              </w:rPr>
              <m:t xml:space="preserve">( </m:t>
            </m:r>
            <m:sSub>
              <m:sSubPr>
                <m:ctrlPr>
                  <w:rPr>
                    <w:rFonts w:ascii="Cambria Math" w:hAnsi="Cambria Math"/>
                    <w:b/>
                    <w:i/>
                    <w:sz w:val="18"/>
                    <w:szCs w:val="18"/>
                  </w:rPr>
                </m:ctrlPr>
              </m:sSubPr>
              <m:e>
                <m:r>
                  <m:rPr>
                    <m:sty m:val="p"/>
                  </m:rPr>
                  <w:rPr>
                    <w:rFonts w:ascii="Cambria Math" w:hAnsi="Cambria Math"/>
                    <w:sz w:val="18"/>
                    <w:szCs w:val="18"/>
                  </w:rPr>
                  <m:t>N</m:t>
                </m:r>
              </m:e>
              <m:sub>
                <m:r>
                  <m:rPr>
                    <m:sty m:val="p"/>
                  </m:rPr>
                  <w:rPr>
                    <w:rFonts w:ascii="Cambria Math" w:hAnsi="Cambria Math"/>
                    <w:sz w:val="18"/>
                    <w:szCs w:val="18"/>
                  </w:rPr>
                  <m:t>T, h,y</m:t>
                </m:r>
              </m:sub>
            </m:sSub>
          </m:e>
        </m:nary>
        <m:r>
          <m:rPr>
            <m:sty m:val="bi"/>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EF</m:t>
            </m:r>
          </m:e>
          <m:sub>
            <m:r>
              <m:rPr>
                <m:sty m:val="p"/>
              </m:rPr>
              <w:rPr>
                <w:rFonts w:ascii="Cambria Math" w:hAnsi="Cambria Math"/>
                <w:sz w:val="18"/>
                <w:szCs w:val="18"/>
              </w:rPr>
              <m:t>awms,T</m:t>
            </m:r>
          </m:sub>
        </m:sSub>
        <m:r>
          <m:rPr>
            <m:sty m:val="p"/>
          </m:rPr>
          <w:rPr>
            <w:rFonts w:ascii="Cambria Math" w:hAnsi="Cambria Math"/>
            <w:sz w:val="18"/>
            <w:szCs w:val="18"/>
          </w:rPr>
          <m:t xml:space="preserve">)*(1- </m:t>
        </m:r>
        <m:sSub>
          <m:sSubPr>
            <m:ctrlPr>
              <w:rPr>
                <w:rFonts w:ascii="Cambria Math" w:eastAsia="Calibri" w:hAnsi="Cambria Math"/>
                <w:sz w:val="18"/>
                <w:szCs w:val="18"/>
                <w:lang w:val="de-DE"/>
              </w:rPr>
            </m:ctrlPr>
          </m:sSubPr>
          <m:e>
            <m:r>
              <m:rPr>
                <m:sty m:val="p"/>
              </m:rPr>
              <w:rPr>
                <w:rFonts w:ascii="Cambria Math" w:hAnsi="Cambria Math"/>
                <w:sz w:val="18"/>
                <w:szCs w:val="18"/>
              </w:rPr>
              <m:t>η</m:t>
            </m:r>
          </m:e>
          <m:sub>
            <m:r>
              <m:rPr>
                <m:sty m:val="p"/>
              </m:rPr>
              <w:rPr>
                <w:rFonts w:ascii="Cambria Math" w:hAnsi="Cambria Math"/>
                <w:sz w:val="18"/>
                <w:szCs w:val="18"/>
              </w:rPr>
              <m:t>new stove</m:t>
            </m:r>
          </m:sub>
        </m:sSub>
        <m:r>
          <w:rPr>
            <w:rFonts w:ascii="Cambria Math" w:hAnsi="Cambria Math"/>
            <w:sz w:val="18"/>
            <w:szCs w:val="18"/>
          </w:rPr>
          <m:t xml:space="preserve">)* (1- </m:t>
        </m:r>
        <m:sSub>
          <m:sSubPr>
            <m:ctrlPr>
              <w:rPr>
                <w:rFonts w:ascii="Cambria Math" w:eastAsia="Calibri" w:hAnsi="Cambria Math"/>
                <w:sz w:val="18"/>
                <w:szCs w:val="18"/>
                <w:lang w:val="de-DE"/>
              </w:rPr>
            </m:ctrlPr>
          </m:sSubPr>
          <m:e>
            <m:r>
              <m:rPr>
                <m:sty m:val="p"/>
              </m:rPr>
              <w:rPr>
                <w:rFonts w:ascii="Cambria Math" w:hAnsi="Cambria Math"/>
                <w:sz w:val="18"/>
                <w:szCs w:val="18"/>
              </w:rPr>
              <m:t>PL</m:t>
            </m:r>
          </m:e>
          <m:sub>
            <m:r>
              <m:rPr>
                <m:sty m:val="p"/>
              </m:rPr>
              <w:rPr>
                <w:rFonts w:ascii="Cambria Math" w:hAnsi="Cambria Math"/>
                <w:sz w:val="18"/>
                <w:szCs w:val="18"/>
              </w:rPr>
              <m:t>y</m:t>
            </m:r>
          </m:sub>
        </m:sSub>
        <m:r>
          <w:rPr>
            <w:rFonts w:ascii="Cambria Math" w:hAnsi="Cambria Math"/>
            <w:sz w:val="18"/>
            <w:szCs w:val="18"/>
          </w:rPr>
          <m:t>)</m:t>
        </m:r>
      </m:oMath>
      <w:r w:rsidR="003E0E9E">
        <w:rPr>
          <w:rFonts w:ascii="AENOR Fontana ND" w:hAnsi="AENOR Fontana ND"/>
          <w:color w:val="000000"/>
          <w:sz w:val="26"/>
          <w:lang w:val="en-US"/>
        </w:rPr>
        <w:t xml:space="preserve">      </w:t>
      </w:r>
      <w:r w:rsidR="003E0E9E">
        <w:t xml:space="preserve">           </w:t>
      </w:r>
      <w:r w:rsidR="003E0E9E">
        <w:rPr>
          <w:b/>
        </w:rPr>
        <w:t>(6)</w:t>
      </w:r>
    </w:p>
    <w:p w14:paraId="2DD52A61" w14:textId="77777777" w:rsidR="003E0E9E" w:rsidRDefault="003E0E9E" w:rsidP="003E0E9E"/>
    <w:p w14:paraId="65C788AD" w14:textId="77777777" w:rsidR="003E0E9E" w:rsidRDefault="003E0E9E" w:rsidP="003E0E9E">
      <w:r>
        <w:t>Where:</w:t>
      </w:r>
    </w:p>
    <w:p w14:paraId="32D352F4" w14:textId="77777777" w:rsidR="003E0E9E" w:rsidRDefault="003E0E9E" w:rsidP="003E0E9E"/>
    <w:p w14:paraId="70222903" w14:textId="77777777" w:rsidR="003E0E9E" w:rsidRDefault="003E0E9E" w:rsidP="003E0E9E">
      <w:pPr>
        <w:ind w:left="1872" w:hanging="1248"/>
      </w:pPr>
      <w:r>
        <w:t>PE</w:t>
      </w:r>
      <w:r>
        <w:rPr>
          <w:vertAlign w:val="subscript"/>
        </w:rPr>
        <w:t>p,CH4,y</w:t>
      </w:r>
      <w:r>
        <w:tab/>
        <w:t>Project emissions from manure handling during the year y in tCO</w:t>
      </w:r>
      <w:r>
        <w:rPr>
          <w:vertAlign w:val="subscript"/>
        </w:rPr>
        <w:t>2</w:t>
      </w:r>
      <w:r>
        <w:t>e</w:t>
      </w:r>
    </w:p>
    <w:p w14:paraId="698C5824" w14:textId="77777777" w:rsidR="003E0E9E" w:rsidRDefault="003E0E9E" w:rsidP="003E0E9E">
      <w:pPr>
        <w:ind w:left="1872" w:hanging="1248"/>
      </w:pPr>
    </w:p>
    <w:p w14:paraId="481E4740" w14:textId="77777777" w:rsidR="003E0E9E" w:rsidRDefault="003E0E9E" w:rsidP="003E0E9E">
      <w:pPr>
        <w:ind w:left="1872" w:hanging="1248"/>
      </w:pPr>
      <w:r>
        <w:t>GWP</w:t>
      </w:r>
      <w:r>
        <w:rPr>
          <w:vertAlign w:val="subscript"/>
        </w:rPr>
        <w:t>CH4</w:t>
      </w:r>
      <w:r>
        <w:tab/>
        <w:t xml:space="preserve">Global Warming Potential of methane </w:t>
      </w:r>
    </w:p>
    <w:p w14:paraId="4CA04AD9" w14:textId="77777777" w:rsidR="003E0E9E" w:rsidRDefault="003E0E9E" w:rsidP="003E0E9E">
      <w:pPr>
        <w:rPr>
          <w:i/>
          <w:sz w:val="20"/>
        </w:rPr>
      </w:pPr>
    </w:p>
    <w:p w14:paraId="3C64568D" w14:textId="77777777" w:rsidR="003E0E9E" w:rsidRDefault="003E0E9E" w:rsidP="003E0E9E">
      <w:pPr>
        <w:ind w:left="1872" w:hanging="1248"/>
      </w:pPr>
      <w:r>
        <w:t>N</w:t>
      </w:r>
      <w:r>
        <w:rPr>
          <w:vertAlign w:val="subscript"/>
        </w:rPr>
        <w:t>T,h</w:t>
      </w:r>
      <w:r>
        <w:tab/>
        <w:t>Number of livestock category T in premise h</w:t>
      </w:r>
    </w:p>
    <w:p w14:paraId="70593264" w14:textId="77777777" w:rsidR="003E0E9E" w:rsidRDefault="003E0E9E" w:rsidP="003E0E9E">
      <w:pPr>
        <w:ind w:left="1872" w:hanging="1248"/>
      </w:pPr>
    </w:p>
    <w:p w14:paraId="28EF17FF" w14:textId="77777777" w:rsidR="003E0E9E" w:rsidRDefault="003E0E9E" w:rsidP="003E0E9E">
      <w:pPr>
        <w:ind w:left="1872" w:hanging="1248"/>
      </w:pPr>
      <w:r>
        <w:t>EF</w:t>
      </w:r>
      <w:r>
        <w:rPr>
          <w:vertAlign w:val="subscript"/>
        </w:rPr>
        <w:t>awms, T</w:t>
      </w:r>
      <w:r>
        <w:tab/>
        <w:t>Emission factor for the defined livestock population category T</w:t>
      </w:r>
    </w:p>
    <w:p w14:paraId="77785A3D" w14:textId="77777777" w:rsidR="003E0E9E" w:rsidRDefault="003E0E9E" w:rsidP="003E0E9E">
      <w:pPr>
        <w:ind w:left="1872" w:hanging="1248"/>
      </w:pPr>
    </w:p>
    <w:p w14:paraId="5F2AD6BC" w14:textId="77777777" w:rsidR="003E0E9E" w:rsidRDefault="003E0E9E" w:rsidP="003E0E9E">
      <w:pPr>
        <w:ind w:left="1872" w:hanging="1248"/>
      </w:pPr>
      <w:r>
        <w:t>PL</w:t>
      </w:r>
      <w:r>
        <w:rPr>
          <w:vertAlign w:val="subscript"/>
        </w:rPr>
        <w:t>y</w:t>
      </w:r>
      <w:r>
        <w:tab/>
        <w:t>Physical leakage of the biodigester (through measurement or application of 10% default)</w:t>
      </w:r>
    </w:p>
    <w:p w14:paraId="097CDED0" w14:textId="77777777" w:rsidR="003E0E9E" w:rsidRDefault="003E0E9E" w:rsidP="003E0E9E">
      <w:pPr>
        <w:ind w:left="1872" w:hanging="1248"/>
      </w:pPr>
    </w:p>
    <w:p w14:paraId="167C9659" w14:textId="77777777" w:rsidR="003E0E9E" w:rsidRDefault="003E0E9E" w:rsidP="003E0E9E">
      <w:pPr>
        <w:ind w:left="1872" w:hanging="1248"/>
        <w:rPr>
          <w:szCs w:val="22"/>
        </w:rPr>
      </w:pPr>
      <w:r>
        <w:rPr>
          <w:szCs w:val="22"/>
        </w:rPr>
        <w:t>η</w:t>
      </w:r>
      <w:r>
        <w:rPr>
          <w:iCs/>
          <w:szCs w:val="22"/>
          <w:vertAlign w:val="subscript"/>
        </w:rPr>
        <w:t xml:space="preserve"> new stove</w:t>
      </w:r>
      <w:r>
        <w:rPr>
          <w:iCs/>
          <w:szCs w:val="22"/>
          <w:vertAlign w:val="subscript"/>
        </w:rPr>
        <w:tab/>
      </w:r>
      <w:r>
        <w:rPr>
          <w:iCs/>
          <w:szCs w:val="22"/>
        </w:rPr>
        <w:t>Combustion efficiency of the used type of biogas stove</w:t>
      </w:r>
      <w:r>
        <w:rPr>
          <w:szCs w:val="22"/>
        </w:rPr>
        <w:tab/>
      </w:r>
    </w:p>
    <w:p w14:paraId="44A0A46E" w14:textId="77777777" w:rsidR="003E0E9E" w:rsidRDefault="003E0E9E" w:rsidP="003E0E9E">
      <w:pPr>
        <w:ind w:left="1872" w:hanging="1248"/>
        <w:rPr>
          <w:szCs w:val="22"/>
        </w:rPr>
      </w:pPr>
    </w:p>
    <w:p w14:paraId="61D0F078" w14:textId="77777777" w:rsidR="003E0E9E" w:rsidRDefault="003E0E9E" w:rsidP="003E0E9E">
      <w:pPr>
        <w:ind w:left="1872" w:hanging="1248"/>
        <w:rPr>
          <w:szCs w:val="22"/>
        </w:rPr>
      </w:pPr>
      <w:r>
        <w:rPr>
          <w:iCs/>
          <w:szCs w:val="22"/>
        </w:rPr>
        <w:t>PE</w:t>
      </w:r>
      <w:r>
        <w:rPr>
          <w:iCs/>
          <w:szCs w:val="22"/>
          <w:vertAlign w:val="subscript"/>
        </w:rPr>
        <w:t>awms,NT</w:t>
      </w:r>
      <w:r>
        <w:rPr>
          <w:szCs w:val="22"/>
        </w:rPr>
        <w:tab/>
        <w:t>Project emission from the animal waste not treated in the biodigester</w:t>
      </w:r>
    </w:p>
    <w:p w14:paraId="27A603A3" w14:textId="77777777" w:rsidR="003E0E9E" w:rsidRDefault="003E0E9E" w:rsidP="003E0E9E">
      <w:pPr>
        <w:rPr>
          <w:szCs w:val="22"/>
        </w:rPr>
      </w:pPr>
    </w:p>
    <w:p w14:paraId="26E6481A" w14:textId="77777777" w:rsidR="003E0E9E" w:rsidRDefault="003E0E9E" w:rsidP="003E0E9E">
      <w:pPr>
        <w:rPr>
          <w:szCs w:val="22"/>
        </w:rPr>
      </w:pPr>
      <w:r>
        <w:rPr>
          <w:szCs w:val="22"/>
        </w:rPr>
        <w:t xml:space="preserve">In the above equation, </w:t>
      </w:r>
      <w:r>
        <w:t>EF</w:t>
      </w:r>
      <w:r>
        <w:rPr>
          <w:vertAlign w:val="subscript"/>
        </w:rPr>
        <w:t>awms, T</w:t>
      </w:r>
      <w:r>
        <w:t xml:space="preserve"> is further defined as:</w:t>
      </w:r>
    </w:p>
    <w:p w14:paraId="6B68D6A6" w14:textId="77777777" w:rsidR="003E0E9E" w:rsidRDefault="003E0E9E" w:rsidP="003E0E9E">
      <w:pPr>
        <w:rPr>
          <w:szCs w:val="22"/>
        </w:rPr>
      </w:pPr>
    </w:p>
    <w:p w14:paraId="2FFF89E7" w14:textId="77777777" w:rsidR="003E0E9E" w:rsidRDefault="00B964EE" w:rsidP="003E0E9E">
      <m:oMath>
        <m:sSub>
          <m:sSubPr>
            <m:ctrlPr>
              <w:rPr>
                <w:rFonts w:ascii="Cambria Math" w:hAnsi="Cambria Math"/>
                <w:b/>
                <w:i/>
                <w:szCs w:val="24"/>
                <w:lang w:eastAsia="ar-SA"/>
              </w:rPr>
            </m:ctrlPr>
          </m:sSubPr>
          <m:e>
            <m:r>
              <m:rPr>
                <m:sty m:val="p"/>
              </m:rPr>
              <w:rPr>
                <w:rFonts w:ascii="Cambria Math" w:hAnsi="Cambria Math"/>
                <w:lang w:eastAsia="ar-SA"/>
              </w:rPr>
              <m:t>EF</m:t>
            </m:r>
          </m:e>
          <m:sub>
            <m:r>
              <m:rPr>
                <m:sty m:val="p"/>
              </m:rPr>
              <w:rPr>
                <w:rFonts w:ascii="Cambria Math" w:hAnsi="Cambria Math"/>
                <w:lang w:eastAsia="ar-SA"/>
              </w:rPr>
              <m:t>awms,h</m:t>
            </m:r>
          </m:sub>
        </m:sSub>
        <m:r>
          <m:rPr>
            <m:sty m:val="p"/>
          </m:rPr>
          <w:rPr>
            <w:rFonts w:ascii="Cambria Math" w:hAnsi="Cambria Math"/>
            <w:szCs w:val="24"/>
            <w:lang w:eastAsia="ar-SA"/>
          </w:rPr>
          <m:t xml:space="preserve">= </m:t>
        </m:r>
        <m:f>
          <m:fPr>
            <m:ctrlPr>
              <w:rPr>
                <w:rFonts w:ascii="Cambria Math" w:hAnsi="Cambria Math"/>
                <w:i/>
                <w:szCs w:val="24"/>
                <w:lang w:eastAsia="ar-SA"/>
              </w:rPr>
            </m:ctrlPr>
          </m:fPr>
          <m:num>
            <m:d>
              <m:dPr>
                <m:ctrlPr>
                  <w:rPr>
                    <w:rFonts w:ascii="Cambria Math" w:hAnsi="Cambria Math"/>
                    <w:i/>
                    <w:szCs w:val="24"/>
                    <w:lang w:eastAsia="ar-SA"/>
                  </w:rPr>
                </m:ctrlPr>
              </m:dPr>
              <m:e>
                <m:sSub>
                  <m:sSubPr>
                    <m:ctrlPr>
                      <w:rPr>
                        <w:rFonts w:ascii="Cambria Math" w:hAnsi="Cambria Math"/>
                        <w:i/>
                        <w:szCs w:val="24"/>
                        <w:lang w:eastAsia="ar-SA"/>
                      </w:rPr>
                    </m:ctrlPr>
                  </m:sSubPr>
                  <m:e>
                    <m:r>
                      <m:rPr>
                        <m:sty m:val="p"/>
                      </m:rPr>
                      <w:rPr>
                        <w:rFonts w:ascii="Cambria Math" w:hAnsi="Cambria Math"/>
                        <w:szCs w:val="24"/>
                        <w:lang w:eastAsia="ar-SA"/>
                      </w:rPr>
                      <m:t>VS</m:t>
                    </m:r>
                  </m:e>
                  <m:sub>
                    <m:r>
                      <m:rPr>
                        <m:sty m:val="p"/>
                      </m:rPr>
                      <w:rPr>
                        <w:rFonts w:ascii="Cambria Math" w:hAnsi="Cambria Math"/>
                        <w:szCs w:val="24"/>
                        <w:lang w:eastAsia="ar-SA"/>
                      </w:rPr>
                      <m:t>T</m:t>
                    </m:r>
                  </m:sub>
                </m:sSub>
                <m:r>
                  <m:rPr>
                    <m:sty m:val="p"/>
                  </m:rPr>
                  <w:rPr>
                    <w:rFonts w:ascii="Cambria Math" w:hAnsi="Cambria Math"/>
                    <w:szCs w:val="24"/>
                    <w:lang w:eastAsia="ar-SA"/>
                  </w:rPr>
                  <m:t>*365</m:t>
                </m:r>
              </m:e>
            </m:d>
            <m:r>
              <m:rPr>
                <m:sty m:val="p"/>
              </m:rPr>
              <w:rPr>
                <w:rFonts w:ascii="Cambria Math" w:hAnsi="Cambria Math"/>
                <w:szCs w:val="24"/>
                <w:lang w:eastAsia="ar-SA"/>
              </w:rPr>
              <m:t>*(</m:t>
            </m:r>
            <m:sSub>
              <m:sSubPr>
                <m:ctrlPr>
                  <w:rPr>
                    <w:rFonts w:ascii="Cambria Math" w:hAnsi="Cambria Math"/>
                    <w:i/>
                    <w:szCs w:val="24"/>
                    <w:lang w:eastAsia="ar-SA"/>
                  </w:rPr>
                </m:ctrlPr>
              </m:sSubPr>
              <m:e>
                <m:r>
                  <m:rPr>
                    <m:sty m:val="p"/>
                  </m:rPr>
                  <w:rPr>
                    <w:rFonts w:ascii="Cambria Math" w:hAnsi="Cambria Math"/>
                    <w:szCs w:val="24"/>
                    <w:lang w:eastAsia="ar-SA"/>
                  </w:rPr>
                  <m:t>B</m:t>
                </m:r>
              </m:e>
              <m:sub>
                <m:r>
                  <m:rPr>
                    <m:sty m:val="p"/>
                  </m:rPr>
                  <w:rPr>
                    <w:rFonts w:ascii="Cambria Math" w:hAnsi="Cambria Math"/>
                    <w:szCs w:val="24"/>
                    <w:lang w:eastAsia="ar-SA"/>
                  </w:rPr>
                  <m:t>0,T</m:t>
                </m:r>
              </m:sub>
            </m:sSub>
            <m:r>
              <m:rPr>
                <m:sty m:val="p"/>
              </m:rPr>
              <w:rPr>
                <w:rFonts w:ascii="Cambria Math" w:hAnsi="Cambria Math"/>
                <w:szCs w:val="24"/>
                <w:lang w:eastAsia="ar-SA"/>
              </w:rPr>
              <m:t>*0.67kg/</m:t>
            </m:r>
            <m:sSup>
              <m:sSupPr>
                <m:ctrlPr>
                  <w:rPr>
                    <w:rFonts w:ascii="Cambria Math" w:hAnsi="Cambria Math"/>
                    <w:i/>
                    <w:szCs w:val="24"/>
                    <w:lang w:eastAsia="ar-SA"/>
                  </w:rPr>
                </m:ctrlPr>
              </m:sSupPr>
              <m:e>
                <m:r>
                  <m:rPr>
                    <m:sty m:val="p"/>
                  </m:rPr>
                  <w:rPr>
                    <w:rFonts w:ascii="Cambria Math" w:hAnsi="Cambria Math"/>
                    <w:szCs w:val="24"/>
                    <w:lang w:eastAsia="ar-SA"/>
                  </w:rPr>
                  <m:t>m</m:t>
                </m:r>
              </m:e>
              <m:sup>
                <m:r>
                  <m:rPr>
                    <m:sty m:val="p"/>
                  </m:rPr>
                  <w:rPr>
                    <w:rFonts w:ascii="Cambria Math" w:hAnsi="Cambria Math"/>
                    <w:szCs w:val="24"/>
                    <w:lang w:eastAsia="ar-SA"/>
                  </w:rPr>
                  <m:t>3</m:t>
                </m:r>
              </m:sup>
            </m:sSup>
            <m:r>
              <m:rPr>
                <m:sty m:val="p"/>
              </m:rPr>
              <w:rPr>
                <w:rFonts w:ascii="Cambria Math" w:hAnsi="Cambria Math"/>
                <w:szCs w:val="24"/>
                <w:lang w:eastAsia="ar-SA"/>
              </w:rPr>
              <m:t xml:space="preserve"> * </m:t>
            </m:r>
            <m:sSub>
              <m:sSubPr>
                <m:ctrlPr>
                  <w:rPr>
                    <w:rFonts w:ascii="Cambria Math" w:hAnsi="Cambria Math"/>
                    <w:i/>
                    <w:szCs w:val="24"/>
                    <w:lang w:eastAsia="ar-SA"/>
                  </w:rPr>
                </m:ctrlPr>
              </m:sSubPr>
              <m:e>
                <m:r>
                  <m:rPr>
                    <m:sty m:val="p"/>
                  </m:rPr>
                  <w:rPr>
                    <w:rFonts w:ascii="Cambria Math" w:hAnsi="Cambria Math"/>
                    <w:szCs w:val="24"/>
                    <w:lang w:eastAsia="ar-SA"/>
                  </w:rPr>
                  <m:t>MCF</m:t>
                </m:r>
              </m:e>
              <m:sub>
                <m:r>
                  <m:rPr>
                    <m:sty m:val="p"/>
                  </m:rPr>
                  <w:rPr>
                    <w:rFonts w:ascii="Cambria Math" w:hAnsi="Cambria Math"/>
                    <w:szCs w:val="24"/>
                    <w:lang w:eastAsia="ar-SA"/>
                  </w:rPr>
                  <m:t>x,k</m:t>
                </m:r>
              </m:sub>
            </m:sSub>
            <m:r>
              <m:rPr>
                <m:sty m:val="p"/>
              </m:rPr>
              <w:rPr>
                <w:rFonts w:ascii="Cambria Math" w:hAnsi="Cambria Math"/>
                <w:szCs w:val="24"/>
                <w:lang w:eastAsia="ar-SA"/>
              </w:rPr>
              <m:t xml:space="preserve">* </m:t>
            </m:r>
            <m:sSub>
              <m:sSubPr>
                <m:ctrlPr>
                  <w:rPr>
                    <w:rFonts w:ascii="Cambria Math" w:hAnsi="Cambria Math"/>
                    <w:i/>
                    <w:szCs w:val="24"/>
                    <w:lang w:eastAsia="ar-SA"/>
                  </w:rPr>
                </m:ctrlPr>
              </m:sSubPr>
              <m:e>
                <m:r>
                  <m:rPr>
                    <m:sty m:val="p"/>
                  </m:rPr>
                  <w:rPr>
                    <w:rFonts w:ascii="Cambria Math" w:hAnsi="Cambria Math"/>
                    <w:szCs w:val="24"/>
                    <w:lang w:eastAsia="ar-SA"/>
                  </w:rPr>
                  <m:t>MS</m:t>
                </m:r>
              </m:e>
              <m:sub>
                <m:r>
                  <m:rPr>
                    <m:sty m:val="p"/>
                  </m:rPr>
                  <w:rPr>
                    <w:rFonts w:ascii="Cambria Math" w:hAnsi="Cambria Math"/>
                    <w:szCs w:val="24"/>
                    <w:lang w:eastAsia="ar-SA"/>
                  </w:rPr>
                  <m:t>T,x,k</m:t>
                </m:r>
              </m:sub>
            </m:sSub>
            <m:r>
              <m:rPr>
                <m:sty m:val="p"/>
              </m:rPr>
              <w:rPr>
                <w:rFonts w:ascii="Cambria Math" w:hAnsi="Cambria Math"/>
                <w:szCs w:val="24"/>
                <w:lang w:eastAsia="ar-SA"/>
              </w:rPr>
              <m:t>)</m:t>
            </m:r>
          </m:num>
          <m:den>
            <m:r>
              <m:rPr>
                <m:sty m:val="p"/>
              </m:rPr>
              <w:rPr>
                <w:rFonts w:ascii="Cambria Math" w:hAnsi="Cambria Math"/>
                <w:szCs w:val="24"/>
                <w:lang w:eastAsia="ar-SA"/>
              </w:rPr>
              <m:t>1000</m:t>
            </m:r>
          </m:den>
        </m:f>
      </m:oMath>
      <w:r w:rsidR="003E0E9E">
        <w:tab/>
      </w:r>
      <w:r w:rsidR="003E0E9E">
        <w:tab/>
      </w:r>
      <w:r w:rsidR="003E0E9E">
        <w:tab/>
      </w:r>
      <w:r w:rsidR="003E0E9E">
        <w:tab/>
      </w:r>
      <w:r w:rsidR="003E0E9E">
        <w:tab/>
      </w:r>
      <w:r w:rsidR="003E0E9E">
        <w:tab/>
      </w:r>
      <w:r w:rsidR="003E0E9E">
        <w:tab/>
      </w:r>
      <w:r w:rsidR="003E0E9E">
        <w:rPr>
          <w:b/>
        </w:rPr>
        <w:t>(7)</w:t>
      </w:r>
    </w:p>
    <w:p w14:paraId="795A3676" w14:textId="77777777" w:rsidR="003E0E9E" w:rsidRDefault="003E0E9E" w:rsidP="003E0E9E"/>
    <w:p w14:paraId="14E83B04" w14:textId="77777777" w:rsidR="003E0E9E" w:rsidRDefault="003E0E9E" w:rsidP="003E0E9E">
      <w:r>
        <w:t>Where:</w:t>
      </w:r>
    </w:p>
    <w:p w14:paraId="2C2CBC88" w14:textId="77777777" w:rsidR="003E0E9E" w:rsidRPr="00A701FD" w:rsidRDefault="003E0E9E" w:rsidP="00A701FD">
      <w:pPr>
        <w:autoSpaceDE w:val="0"/>
        <w:autoSpaceDN w:val="0"/>
        <w:adjustRightInd w:val="0"/>
        <w:ind w:firstLine="709"/>
        <w:jc w:val="left"/>
        <w:rPr>
          <w:rFonts w:eastAsia="MS Mincho" w:cs="Arial"/>
          <w:szCs w:val="22"/>
          <w:lang w:val="en-US" w:eastAsia="en-US"/>
        </w:rPr>
      </w:pPr>
      <w:r w:rsidRPr="00A701FD">
        <w:rPr>
          <w:rFonts w:eastAsia="MS Mincho" w:cs="Arial"/>
          <w:szCs w:val="22"/>
          <w:lang w:val="en-US" w:eastAsia="en-US"/>
        </w:rPr>
        <w:t>EF</w:t>
      </w:r>
      <w:r w:rsidRPr="00A701FD">
        <w:rPr>
          <w:rFonts w:eastAsia="MS Mincho" w:cs="Arial"/>
          <w:sz w:val="14"/>
          <w:szCs w:val="14"/>
          <w:lang w:val="en-US" w:eastAsia="en-US"/>
        </w:rPr>
        <w:t xml:space="preserve">awms(T) </w:t>
      </w:r>
      <w:r w:rsidRPr="00A701FD">
        <w:rPr>
          <w:rFonts w:eastAsia="MS Mincho" w:cs="Arial"/>
          <w:sz w:val="14"/>
          <w:szCs w:val="14"/>
          <w:lang w:val="en-US" w:eastAsia="en-US"/>
        </w:rPr>
        <w:tab/>
      </w:r>
      <w:r w:rsidRPr="00A701FD">
        <w:rPr>
          <w:rFonts w:eastAsia="MS Mincho" w:cs="Arial"/>
          <w:szCs w:val="22"/>
          <w:lang w:val="en-US" w:eastAsia="en-US"/>
        </w:rPr>
        <w:t>CH</w:t>
      </w:r>
      <w:r w:rsidRPr="00A701FD">
        <w:rPr>
          <w:rFonts w:eastAsia="MS Mincho" w:cs="Arial"/>
          <w:sz w:val="14"/>
          <w:szCs w:val="14"/>
          <w:lang w:val="en-US" w:eastAsia="en-US"/>
        </w:rPr>
        <w:t xml:space="preserve">4 </w:t>
      </w:r>
      <w:r w:rsidRPr="00A701FD">
        <w:rPr>
          <w:rFonts w:eastAsia="MS Mincho" w:cs="Arial"/>
          <w:szCs w:val="22"/>
          <w:lang w:val="en-US" w:eastAsia="en-US"/>
        </w:rPr>
        <w:t xml:space="preserve">emission factor for livestock category </w:t>
      </w:r>
      <w:r w:rsidRPr="00A701FD">
        <w:rPr>
          <w:rFonts w:eastAsia="MS Mincho" w:cs="Arial"/>
          <w:i/>
          <w:iCs/>
          <w:szCs w:val="22"/>
          <w:lang w:val="en-US" w:eastAsia="en-US"/>
        </w:rPr>
        <w:t>T</w:t>
      </w:r>
      <w:r w:rsidRPr="00A701FD">
        <w:rPr>
          <w:rFonts w:eastAsia="MS Mincho" w:cs="Arial"/>
          <w:szCs w:val="22"/>
          <w:lang w:val="en-US" w:eastAsia="en-US"/>
        </w:rPr>
        <w:t>, (tCH</w:t>
      </w:r>
      <w:r w:rsidRPr="00A701FD">
        <w:rPr>
          <w:rFonts w:eastAsia="MS Mincho" w:cs="Arial"/>
          <w:sz w:val="14"/>
          <w:szCs w:val="14"/>
          <w:lang w:val="en-US" w:eastAsia="en-US"/>
        </w:rPr>
        <w:t>4</w:t>
      </w:r>
      <w:r w:rsidRPr="00A701FD">
        <w:rPr>
          <w:rFonts w:eastAsia="MS Mincho" w:cs="Arial"/>
          <w:szCs w:val="22"/>
          <w:lang w:val="en-US" w:eastAsia="en-US"/>
        </w:rPr>
        <w:t>per animal per year)</w:t>
      </w:r>
    </w:p>
    <w:p w14:paraId="4B496A19" w14:textId="77777777" w:rsidR="003E0E9E" w:rsidRPr="00A701FD" w:rsidRDefault="003E0E9E" w:rsidP="003E0E9E">
      <w:pPr>
        <w:autoSpaceDE w:val="0"/>
        <w:autoSpaceDN w:val="0"/>
        <w:adjustRightInd w:val="0"/>
        <w:jc w:val="left"/>
        <w:rPr>
          <w:rFonts w:eastAsia="MS Mincho" w:cs="Arial"/>
          <w:szCs w:val="22"/>
          <w:lang w:val="en-US" w:eastAsia="en-US"/>
        </w:rPr>
      </w:pPr>
    </w:p>
    <w:p w14:paraId="5A781FDD" w14:textId="77777777" w:rsidR="003E0E9E" w:rsidRPr="00A701FD" w:rsidRDefault="003E0E9E" w:rsidP="00A701FD">
      <w:pPr>
        <w:autoSpaceDE w:val="0"/>
        <w:autoSpaceDN w:val="0"/>
        <w:adjustRightInd w:val="0"/>
        <w:ind w:left="2127" w:hanging="1418"/>
        <w:jc w:val="left"/>
        <w:rPr>
          <w:rFonts w:eastAsia="MS Mincho" w:cs="Arial"/>
          <w:szCs w:val="22"/>
          <w:lang w:val="en-US" w:eastAsia="en-US"/>
        </w:rPr>
      </w:pPr>
      <w:r w:rsidRPr="00A701FD">
        <w:rPr>
          <w:rFonts w:eastAsia="MS Mincho" w:cs="Arial"/>
          <w:szCs w:val="22"/>
          <w:lang w:val="en-US" w:eastAsia="en-US"/>
        </w:rPr>
        <w:t>VS</w:t>
      </w:r>
      <w:r w:rsidRPr="00A701FD">
        <w:rPr>
          <w:rFonts w:eastAsia="MS Mincho" w:cs="Arial"/>
          <w:sz w:val="14"/>
          <w:szCs w:val="14"/>
          <w:lang w:val="en-US" w:eastAsia="en-US"/>
        </w:rPr>
        <w:t xml:space="preserve">(T) </w:t>
      </w:r>
      <w:r w:rsidRPr="00A701FD">
        <w:rPr>
          <w:rFonts w:eastAsia="MS Mincho" w:cs="Arial"/>
          <w:sz w:val="14"/>
          <w:szCs w:val="14"/>
          <w:lang w:val="en-US" w:eastAsia="en-US"/>
        </w:rPr>
        <w:tab/>
      </w:r>
      <w:r w:rsidRPr="00A701FD">
        <w:rPr>
          <w:rFonts w:eastAsia="MS Mincho" w:cs="Arial"/>
          <w:szCs w:val="22"/>
          <w:lang w:val="en-US" w:eastAsia="en-US"/>
        </w:rPr>
        <w:t xml:space="preserve">Daily volatile solid excreted for livestock category </w:t>
      </w:r>
      <w:r w:rsidRPr="00A701FD">
        <w:rPr>
          <w:rFonts w:eastAsia="MS Mincho" w:cs="Arial"/>
          <w:i/>
          <w:iCs/>
          <w:szCs w:val="22"/>
          <w:lang w:val="en-US" w:eastAsia="en-US"/>
        </w:rPr>
        <w:t>T</w:t>
      </w:r>
      <w:r w:rsidRPr="00A701FD">
        <w:rPr>
          <w:rFonts w:eastAsia="MS Mincho" w:cs="Arial"/>
          <w:szCs w:val="22"/>
          <w:lang w:val="en-US" w:eastAsia="en-US"/>
        </w:rPr>
        <w:t>, (kg dry matter per animal per</w:t>
      </w:r>
      <w:r w:rsidR="00A701FD">
        <w:rPr>
          <w:rFonts w:eastAsia="MS Mincho" w:cs="Arial"/>
          <w:szCs w:val="22"/>
          <w:lang w:val="en-US" w:eastAsia="en-US"/>
        </w:rPr>
        <w:t xml:space="preserve"> </w:t>
      </w:r>
      <w:r w:rsidRPr="00A701FD">
        <w:rPr>
          <w:rFonts w:eastAsia="MS Mincho" w:cs="Arial"/>
          <w:szCs w:val="22"/>
          <w:lang w:val="en-US" w:eastAsia="en-US"/>
        </w:rPr>
        <w:t>day)</w:t>
      </w:r>
    </w:p>
    <w:p w14:paraId="4D6B58DF" w14:textId="77777777" w:rsidR="003E0E9E" w:rsidRPr="00A701FD" w:rsidRDefault="003E0E9E" w:rsidP="003E0E9E">
      <w:pPr>
        <w:autoSpaceDE w:val="0"/>
        <w:autoSpaceDN w:val="0"/>
        <w:adjustRightInd w:val="0"/>
        <w:ind w:left="709" w:firstLine="709"/>
        <w:jc w:val="left"/>
        <w:rPr>
          <w:rFonts w:eastAsia="MS Mincho" w:cs="Arial"/>
          <w:szCs w:val="22"/>
          <w:lang w:val="en-US" w:eastAsia="en-US"/>
        </w:rPr>
      </w:pPr>
    </w:p>
    <w:p w14:paraId="2A3D38F5" w14:textId="77777777" w:rsidR="003E0E9E" w:rsidRPr="00A701FD" w:rsidRDefault="003E0E9E" w:rsidP="00A701FD">
      <w:pPr>
        <w:autoSpaceDE w:val="0"/>
        <w:autoSpaceDN w:val="0"/>
        <w:adjustRightInd w:val="0"/>
        <w:ind w:firstLine="709"/>
        <w:jc w:val="left"/>
        <w:rPr>
          <w:rFonts w:eastAsia="MS Mincho" w:cs="Arial"/>
          <w:szCs w:val="22"/>
          <w:lang w:val="en-US" w:eastAsia="en-US"/>
        </w:rPr>
      </w:pPr>
      <w:r w:rsidRPr="00A701FD">
        <w:rPr>
          <w:rFonts w:eastAsia="MS Mincho" w:cs="Arial"/>
          <w:szCs w:val="22"/>
          <w:lang w:val="en-US" w:eastAsia="en-US"/>
        </w:rPr>
        <w:t xml:space="preserve">365 </w:t>
      </w:r>
      <w:r w:rsidRPr="00A701FD">
        <w:rPr>
          <w:rFonts w:eastAsia="MS Mincho" w:cs="Arial"/>
          <w:szCs w:val="22"/>
          <w:lang w:val="en-US" w:eastAsia="en-US"/>
        </w:rPr>
        <w:tab/>
      </w:r>
      <w:r w:rsidRPr="00A701FD">
        <w:rPr>
          <w:rFonts w:eastAsia="MS Mincho" w:cs="Arial"/>
          <w:szCs w:val="22"/>
          <w:lang w:val="en-US" w:eastAsia="en-US"/>
        </w:rPr>
        <w:tab/>
        <w:t>Basis for calculating annual VS production, (days per year)</w:t>
      </w:r>
    </w:p>
    <w:p w14:paraId="09BECF99" w14:textId="77777777" w:rsidR="003E0E9E" w:rsidRPr="00A701FD" w:rsidRDefault="003E0E9E" w:rsidP="003E0E9E">
      <w:pPr>
        <w:autoSpaceDE w:val="0"/>
        <w:autoSpaceDN w:val="0"/>
        <w:adjustRightInd w:val="0"/>
        <w:jc w:val="left"/>
        <w:rPr>
          <w:rFonts w:eastAsia="MS Mincho" w:cs="Arial"/>
          <w:szCs w:val="22"/>
          <w:lang w:val="en-US" w:eastAsia="en-US"/>
        </w:rPr>
      </w:pPr>
    </w:p>
    <w:p w14:paraId="782EC3B8" w14:textId="77777777" w:rsidR="003E0E9E" w:rsidRPr="00A701FD" w:rsidRDefault="003E0E9E" w:rsidP="00A701FD">
      <w:pPr>
        <w:autoSpaceDE w:val="0"/>
        <w:autoSpaceDN w:val="0"/>
        <w:adjustRightInd w:val="0"/>
        <w:ind w:left="2127" w:hanging="1418"/>
        <w:jc w:val="left"/>
        <w:rPr>
          <w:rFonts w:eastAsia="MS Mincho" w:cs="Arial"/>
          <w:szCs w:val="22"/>
          <w:lang w:val="en-US" w:eastAsia="en-US"/>
        </w:rPr>
      </w:pPr>
      <w:r w:rsidRPr="00A701FD">
        <w:rPr>
          <w:rFonts w:eastAsia="MS Mincho" w:cs="Arial"/>
          <w:szCs w:val="22"/>
          <w:lang w:val="en-US" w:eastAsia="en-US"/>
        </w:rPr>
        <w:t>Bo</w:t>
      </w:r>
      <w:r w:rsidRPr="00A701FD">
        <w:rPr>
          <w:rFonts w:eastAsia="MS Mincho" w:cs="Arial"/>
          <w:sz w:val="14"/>
          <w:szCs w:val="14"/>
          <w:lang w:val="en-US" w:eastAsia="en-US"/>
        </w:rPr>
        <w:t xml:space="preserve">(T) </w:t>
      </w:r>
      <w:r w:rsidRPr="00A701FD">
        <w:rPr>
          <w:rFonts w:eastAsia="MS Mincho" w:cs="Arial"/>
          <w:sz w:val="14"/>
          <w:szCs w:val="14"/>
          <w:lang w:val="en-US" w:eastAsia="en-US"/>
        </w:rPr>
        <w:tab/>
      </w:r>
      <w:r w:rsidRPr="00A701FD">
        <w:rPr>
          <w:rFonts w:eastAsia="MS Mincho" w:cs="Arial"/>
          <w:szCs w:val="22"/>
          <w:lang w:val="en-US" w:eastAsia="en-US"/>
        </w:rPr>
        <w:t>Maximum methane production capacity for manure produced by livestock category</w:t>
      </w:r>
      <w:r w:rsidR="00A701FD">
        <w:rPr>
          <w:rFonts w:eastAsia="MS Mincho" w:cs="Arial"/>
          <w:szCs w:val="22"/>
          <w:lang w:val="en-US" w:eastAsia="en-US"/>
        </w:rPr>
        <w:t xml:space="preserve"> </w:t>
      </w:r>
      <w:r w:rsidRPr="00A701FD">
        <w:rPr>
          <w:rFonts w:eastAsia="MS Mincho" w:cs="Arial"/>
          <w:i/>
          <w:iCs/>
          <w:szCs w:val="22"/>
          <w:lang w:val="en-US" w:eastAsia="en-US"/>
        </w:rPr>
        <w:t>T</w:t>
      </w:r>
      <w:r w:rsidRPr="00A701FD">
        <w:rPr>
          <w:rFonts w:eastAsia="MS Mincho" w:cs="Arial"/>
          <w:szCs w:val="22"/>
          <w:lang w:val="en-US" w:eastAsia="en-US"/>
        </w:rPr>
        <w:t>, (m</w:t>
      </w:r>
      <w:r w:rsidRPr="00A701FD">
        <w:rPr>
          <w:rFonts w:eastAsia="MS Mincho" w:cs="Arial"/>
          <w:sz w:val="14"/>
          <w:szCs w:val="14"/>
          <w:lang w:val="en-US" w:eastAsia="en-US"/>
        </w:rPr>
        <w:t>3</w:t>
      </w:r>
      <w:r w:rsidRPr="00A701FD">
        <w:rPr>
          <w:rFonts w:eastAsia="MS Mincho" w:cs="Arial"/>
          <w:szCs w:val="22"/>
          <w:lang w:val="en-US" w:eastAsia="en-US"/>
        </w:rPr>
        <w:t>CH</w:t>
      </w:r>
      <w:r w:rsidRPr="00A701FD">
        <w:rPr>
          <w:rFonts w:eastAsia="MS Mincho" w:cs="Arial"/>
          <w:sz w:val="14"/>
          <w:szCs w:val="14"/>
          <w:lang w:val="en-US" w:eastAsia="en-US"/>
        </w:rPr>
        <w:t xml:space="preserve">4 </w:t>
      </w:r>
      <w:r w:rsidRPr="00A701FD">
        <w:rPr>
          <w:rFonts w:eastAsia="MS Mincho" w:cs="Arial"/>
          <w:szCs w:val="22"/>
          <w:lang w:val="en-US" w:eastAsia="en-US"/>
        </w:rPr>
        <w:t>per kg of VS excreted)</w:t>
      </w:r>
    </w:p>
    <w:p w14:paraId="35177151" w14:textId="77777777" w:rsidR="003E0E9E" w:rsidRPr="00A701FD" w:rsidRDefault="003E0E9E" w:rsidP="003E0E9E">
      <w:pPr>
        <w:autoSpaceDE w:val="0"/>
        <w:autoSpaceDN w:val="0"/>
        <w:adjustRightInd w:val="0"/>
        <w:ind w:left="709" w:firstLine="709"/>
        <w:jc w:val="left"/>
        <w:rPr>
          <w:rFonts w:eastAsia="MS Mincho" w:cs="Arial"/>
          <w:szCs w:val="22"/>
          <w:lang w:val="en-US" w:eastAsia="en-US"/>
        </w:rPr>
      </w:pPr>
    </w:p>
    <w:p w14:paraId="5F62F37C" w14:textId="77777777" w:rsidR="003E0E9E" w:rsidRPr="00A701FD" w:rsidRDefault="003E0E9E" w:rsidP="00A701FD">
      <w:pPr>
        <w:autoSpaceDE w:val="0"/>
        <w:autoSpaceDN w:val="0"/>
        <w:adjustRightInd w:val="0"/>
        <w:ind w:firstLine="709"/>
        <w:jc w:val="left"/>
        <w:rPr>
          <w:rFonts w:eastAsia="MS Mincho" w:cs="Arial"/>
          <w:szCs w:val="22"/>
          <w:lang w:val="en-US" w:eastAsia="en-US"/>
        </w:rPr>
      </w:pPr>
      <w:r w:rsidRPr="00A701FD">
        <w:rPr>
          <w:rFonts w:eastAsia="MS Mincho" w:cs="Arial"/>
          <w:szCs w:val="22"/>
          <w:lang w:val="en-US" w:eastAsia="en-US"/>
        </w:rPr>
        <w:t>D</w:t>
      </w:r>
      <w:r w:rsidRPr="00A701FD">
        <w:rPr>
          <w:rFonts w:eastAsia="MS Mincho" w:cs="Arial"/>
          <w:sz w:val="14"/>
          <w:szCs w:val="14"/>
          <w:lang w:val="en-US" w:eastAsia="en-US"/>
        </w:rPr>
        <w:t xml:space="preserve">CH4 </w:t>
      </w:r>
      <w:r w:rsidRPr="00A701FD">
        <w:rPr>
          <w:rFonts w:eastAsia="MS Mincho" w:cs="Arial"/>
          <w:sz w:val="14"/>
          <w:szCs w:val="14"/>
          <w:lang w:val="en-US" w:eastAsia="en-US"/>
        </w:rPr>
        <w:tab/>
      </w:r>
      <w:r w:rsidRPr="00A701FD">
        <w:rPr>
          <w:rFonts w:eastAsia="MS Mincho" w:cs="Arial"/>
          <w:sz w:val="14"/>
          <w:szCs w:val="14"/>
          <w:lang w:val="en-US" w:eastAsia="en-US"/>
        </w:rPr>
        <w:tab/>
      </w:r>
      <w:r w:rsidRPr="00A701FD">
        <w:rPr>
          <w:rFonts w:eastAsia="MS Mincho" w:cs="Arial"/>
          <w:szCs w:val="22"/>
          <w:lang w:val="en-US" w:eastAsia="en-US"/>
        </w:rPr>
        <w:t>CH</w:t>
      </w:r>
      <w:r w:rsidRPr="00A701FD">
        <w:rPr>
          <w:rFonts w:eastAsia="MS Mincho" w:cs="Arial"/>
          <w:sz w:val="14"/>
          <w:szCs w:val="14"/>
          <w:lang w:val="en-US" w:eastAsia="en-US"/>
        </w:rPr>
        <w:t xml:space="preserve">4 </w:t>
      </w:r>
      <w:r w:rsidRPr="00A701FD">
        <w:rPr>
          <w:rFonts w:eastAsia="MS Mincho" w:cs="Arial"/>
          <w:szCs w:val="22"/>
          <w:lang w:val="en-US" w:eastAsia="en-US"/>
        </w:rPr>
        <w:t>density (0.00067 t per m</w:t>
      </w:r>
      <w:r w:rsidRPr="00A701FD">
        <w:rPr>
          <w:rFonts w:eastAsia="MS Mincho" w:cs="Arial"/>
          <w:sz w:val="14"/>
          <w:szCs w:val="14"/>
          <w:lang w:val="en-US" w:eastAsia="en-US"/>
        </w:rPr>
        <w:t xml:space="preserve">3 </w:t>
      </w:r>
      <w:r w:rsidRPr="00A701FD">
        <w:rPr>
          <w:rFonts w:eastAsia="MS Mincho" w:cs="Arial"/>
          <w:szCs w:val="22"/>
          <w:lang w:val="en-US" w:eastAsia="en-US"/>
        </w:rPr>
        <w:t>at room temperature</w:t>
      </w:r>
    </w:p>
    <w:p w14:paraId="7223CBB0" w14:textId="77777777" w:rsidR="003E0E9E" w:rsidRPr="00A701FD" w:rsidRDefault="003E0E9E" w:rsidP="003E0E9E">
      <w:pPr>
        <w:autoSpaceDE w:val="0"/>
        <w:autoSpaceDN w:val="0"/>
        <w:adjustRightInd w:val="0"/>
        <w:jc w:val="left"/>
        <w:rPr>
          <w:rFonts w:eastAsia="MS Mincho" w:cs="Arial"/>
          <w:szCs w:val="22"/>
          <w:lang w:val="en-US" w:eastAsia="en-US"/>
        </w:rPr>
      </w:pPr>
    </w:p>
    <w:p w14:paraId="624A1180" w14:textId="77777777" w:rsidR="003E0E9E" w:rsidRPr="00A701FD" w:rsidRDefault="003E0E9E" w:rsidP="00A701FD">
      <w:pPr>
        <w:autoSpaceDE w:val="0"/>
        <w:autoSpaceDN w:val="0"/>
        <w:adjustRightInd w:val="0"/>
        <w:ind w:left="2127" w:hanging="1418"/>
        <w:jc w:val="left"/>
        <w:rPr>
          <w:rFonts w:eastAsia="MS Mincho" w:cs="Arial"/>
          <w:szCs w:val="22"/>
          <w:lang w:val="en-US" w:eastAsia="en-US"/>
        </w:rPr>
      </w:pPr>
      <w:r w:rsidRPr="00A701FD">
        <w:rPr>
          <w:rFonts w:eastAsia="MS Mincho" w:cs="Arial"/>
          <w:szCs w:val="22"/>
          <w:lang w:val="en-US" w:eastAsia="en-US"/>
        </w:rPr>
        <w:t>MCF</w:t>
      </w:r>
      <w:r w:rsidRPr="00A701FD">
        <w:rPr>
          <w:rFonts w:eastAsia="MS Mincho" w:cs="Arial"/>
          <w:sz w:val="14"/>
          <w:szCs w:val="14"/>
          <w:lang w:val="en-US" w:eastAsia="en-US"/>
        </w:rPr>
        <w:t xml:space="preserve">(BL,k) </w:t>
      </w:r>
      <w:r w:rsidRPr="00A701FD">
        <w:rPr>
          <w:rFonts w:eastAsia="MS Mincho" w:cs="Arial"/>
          <w:sz w:val="14"/>
          <w:szCs w:val="14"/>
          <w:lang w:val="en-US" w:eastAsia="en-US"/>
        </w:rPr>
        <w:tab/>
      </w:r>
      <w:r w:rsidRPr="00A701FD">
        <w:rPr>
          <w:rFonts w:eastAsia="MS Mincho" w:cs="Arial"/>
          <w:szCs w:val="22"/>
          <w:lang w:val="en-US" w:eastAsia="en-US"/>
        </w:rPr>
        <w:t>Methane conversion factors for the animal waste handling system in the baseline</w:t>
      </w:r>
      <w:r w:rsidR="00A701FD">
        <w:rPr>
          <w:rFonts w:eastAsia="MS Mincho" w:cs="Arial"/>
          <w:szCs w:val="22"/>
          <w:lang w:val="en-US" w:eastAsia="en-US"/>
        </w:rPr>
        <w:t xml:space="preserve"> </w:t>
      </w:r>
      <w:r w:rsidRPr="00A701FD">
        <w:rPr>
          <w:rFonts w:eastAsia="MS Mincho" w:cs="Arial"/>
          <w:szCs w:val="22"/>
          <w:lang w:val="en-US" w:eastAsia="en-US"/>
        </w:rPr>
        <w:t xml:space="preserve">situation by climate zone </w:t>
      </w:r>
      <w:r w:rsidRPr="00A701FD">
        <w:rPr>
          <w:rFonts w:eastAsia="MS Mincho" w:cs="Arial"/>
          <w:i/>
          <w:iCs/>
          <w:szCs w:val="22"/>
          <w:lang w:val="en-US" w:eastAsia="en-US"/>
        </w:rPr>
        <w:t>k</w:t>
      </w:r>
      <w:r w:rsidRPr="00A701FD">
        <w:rPr>
          <w:rFonts w:eastAsia="MS Mincho" w:cs="Arial"/>
          <w:szCs w:val="22"/>
          <w:lang w:val="en-US" w:eastAsia="en-US"/>
        </w:rPr>
        <w:t>, (%)</w:t>
      </w:r>
    </w:p>
    <w:p w14:paraId="4E8E515D" w14:textId="77777777" w:rsidR="003E0E9E" w:rsidRPr="00A701FD" w:rsidRDefault="003E0E9E" w:rsidP="003E0E9E">
      <w:pPr>
        <w:autoSpaceDE w:val="0"/>
        <w:autoSpaceDN w:val="0"/>
        <w:adjustRightInd w:val="0"/>
        <w:ind w:left="709" w:firstLine="709"/>
        <w:jc w:val="left"/>
        <w:rPr>
          <w:rFonts w:eastAsia="MS Mincho" w:cs="Arial"/>
          <w:szCs w:val="22"/>
          <w:lang w:val="en-US" w:eastAsia="en-US"/>
        </w:rPr>
      </w:pPr>
    </w:p>
    <w:p w14:paraId="44D42BE9" w14:textId="77777777" w:rsidR="003E0E9E" w:rsidRPr="00A701FD" w:rsidRDefault="003E0E9E" w:rsidP="00A701FD">
      <w:pPr>
        <w:autoSpaceDE w:val="0"/>
        <w:autoSpaceDN w:val="0"/>
        <w:adjustRightInd w:val="0"/>
        <w:ind w:left="2127" w:hanging="1418"/>
        <w:jc w:val="left"/>
        <w:rPr>
          <w:rFonts w:eastAsia="MS Mincho" w:cs="Arial"/>
          <w:szCs w:val="22"/>
          <w:lang w:val="en-US" w:eastAsia="en-US"/>
        </w:rPr>
      </w:pPr>
      <w:r w:rsidRPr="00A701FD">
        <w:rPr>
          <w:rFonts w:eastAsia="MS Mincho" w:cs="Arial"/>
          <w:szCs w:val="22"/>
          <w:lang w:val="en-US" w:eastAsia="en-US"/>
        </w:rPr>
        <w:t>MS</w:t>
      </w:r>
      <w:r w:rsidRPr="00A701FD">
        <w:rPr>
          <w:rFonts w:eastAsia="MS Mincho" w:cs="Arial"/>
          <w:sz w:val="14"/>
          <w:szCs w:val="14"/>
          <w:lang w:val="en-US" w:eastAsia="en-US"/>
        </w:rPr>
        <w:t xml:space="preserve">(T,S,k) </w:t>
      </w:r>
      <w:r w:rsidRPr="00A701FD">
        <w:rPr>
          <w:rFonts w:eastAsia="MS Mincho" w:cs="Arial"/>
          <w:sz w:val="14"/>
          <w:szCs w:val="14"/>
          <w:lang w:val="en-US" w:eastAsia="en-US"/>
        </w:rPr>
        <w:tab/>
      </w:r>
      <w:r w:rsidRPr="00A701FD">
        <w:rPr>
          <w:rFonts w:eastAsia="MS Mincho" w:cs="Arial"/>
          <w:szCs w:val="22"/>
          <w:lang w:val="en-US" w:eastAsia="en-US"/>
        </w:rPr>
        <w:t xml:space="preserve">Fraction of livestock category </w:t>
      </w:r>
      <w:r w:rsidRPr="00A701FD">
        <w:rPr>
          <w:rFonts w:eastAsia="MS Mincho" w:cs="Arial"/>
          <w:i/>
          <w:iCs/>
          <w:szCs w:val="22"/>
          <w:lang w:val="en-US" w:eastAsia="en-US"/>
        </w:rPr>
        <w:t>T'</w:t>
      </w:r>
      <w:r w:rsidRPr="00A701FD">
        <w:rPr>
          <w:rFonts w:eastAsia="MS Mincho" w:cs="Arial"/>
          <w:szCs w:val="22"/>
          <w:lang w:val="en-US" w:eastAsia="en-US"/>
        </w:rPr>
        <w:t xml:space="preserve">s manure treated in the animal waste </w:t>
      </w:r>
      <w:r w:rsidR="00A701FD">
        <w:rPr>
          <w:rFonts w:eastAsia="MS Mincho" w:cs="Arial"/>
          <w:szCs w:val="22"/>
          <w:lang w:val="en-US" w:eastAsia="en-US"/>
        </w:rPr>
        <w:t xml:space="preserve">management </w:t>
      </w:r>
      <w:r w:rsidRPr="00A701FD">
        <w:rPr>
          <w:rFonts w:eastAsia="MS Mincho" w:cs="Arial"/>
          <w:szCs w:val="22"/>
          <w:lang w:val="en-US" w:eastAsia="en-US"/>
        </w:rPr>
        <w:t>system</w:t>
      </w:r>
      <w:r w:rsidRPr="00A701FD">
        <w:rPr>
          <w:rFonts w:eastAsia="MS Mincho" w:cs="Arial"/>
          <w:i/>
          <w:iCs/>
          <w:szCs w:val="22"/>
          <w:lang w:val="en-US" w:eastAsia="en-US"/>
        </w:rPr>
        <w:t xml:space="preserve">, </w:t>
      </w:r>
      <w:r w:rsidRPr="00A701FD">
        <w:rPr>
          <w:rFonts w:eastAsia="MS Mincho" w:cs="Arial"/>
          <w:szCs w:val="22"/>
          <w:lang w:val="en-US" w:eastAsia="en-US"/>
        </w:rPr>
        <w:t xml:space="preserve">in climate region </w:t>
      </w:r>
      <w:r w:rsidRPr="00A701FD">
        <w:rPr>
          <w:rFonts w:eastAsia="MS Mincho" w:cs="Arial"/>
          <w:i/>
          <w:iCs/>
          <w:szCs w:val="22"/>
          <w:lang w:val="en-US" w:eastAsia="en-US"/>
        </w:rPr>
        <w:t xml:space="preserve">k </w:t>
      </w:r>
      <w:r w:rsidRPr="00A701FD">
        <w:rPr>
          <w:rFonts w:eastAsia="MS Mincho" w:cs="Arial"/>
          <w:szCs w:val="22"/>
          <w:lang w:val="en-US" w:eastAsia="en-US"/>
        </w:rPr>
        <w:t>(dimensionless)</w:t>
      </w:r>
    </w:p>
    <w:p w14:paraId="1AA55C4B" w14:textId="77777777" w:rsidR="003E0E9E" w:rsidRDefault="003E0E9E" w:rsidP="003E0E9E"/>
    <w:p w14:paraId="54D26A22" w14:textId="77777777" w:rsidR="000D3B54" w:rsidRPr="009E2C68" w:rsidRDefault="003E0E9E" w:rsidP="009E2C68">
      <w:pPr>
        <w:jc w:val="left"/>
        <w:rPr>
          <w:rFonts w:ascii="Times New Roman" w:eastAsia="MS Mincho" w:hAnsi="Times New Roman"/>
          <w:sz w:val="24"/>
          <w:szCs w:val="24"/>
          <w:lang w:val="en-US" w:eastAsia="en-US"/>
        </w:rPr>
      </w:pPr>
      <w:r>
        <w:t>The project emissions</w:t>
      </w:r>
      <w:r w:rsidR="009E2C68">
        <w:t xml:space="preserve"> from manure handling</w:t>
      </w:r>
      <w:r>
        <w:rPr>
          <w:i/>
        </w:rPr>
        <w:t xml:space="preserve"> </w:t>
      </w:r>
      <w:r>
        <w:t xml:space="preserve">per household per year </w:t>
      </w:r>
      <w:r>
        <w:rPr>
          <w:szCs w:val="22"/>
        </w:rPr>
        <w:t xml:space="preserve">under the </w:t>
      </w:r>
      <w:r w:rsidRPr="003E0E9E">
        <w:rPr>
          <w:szCs w:val="22"/>
        </w:rPr>
        <w:t>VPA006</w:t>
      </w:r>
      <w:r w:rsidRPr="003E0E9E">
        <w:t xml:space="preserve"> are </w:t>
      </w:r>
      <w:r w:rsidRPr="003E0E9E">
        <w:rPr>
          <w:rFonts w:cs="Arial"/>
        </w:rPr>
        <w:t>therefore</w:t>
      </w:r>
      <w:r w:rsidRPr="003E0E9E">
        <w:rPr>
          <w:rFonts w:cs="Arial"/>
          <w:vertAlign w:val="superscript"/>
        </w:rPr>
        <w:footnoteReference w:id="28"/>
      </w:r>
      <w:r w:rsidRPr="003E0E9E">
        <w:rPr>
          <w:rFonts w:cs="Arial"/>
        </w:rPr>
        <w:t>:</w:t>
      </w:r>
      <w:r w:rsidR="009E2C68">
        <w:rPr>
          <w:rFonts w:ascii="Times New Roman" w:eastAsia="MS Mincho" w:hAnsi="Times New Roman"/>
          <w:sz w:val="24"/>
          <w:szCs w:val="24"/>
          <w:lang w:val="en-US" w:eastAsia="en-US"/>
        </w:rPr>
        <w:t xml:space="preserve"> </w:t>
      </w:r>
    </w:p>
    <w:p w14:paraId="273E7FBB" w14:textId="77777777" w:rsidR="003E0E9E" w:rsidRDefault="003E0E9E" w:rsidP="00A53453">
      <w:pPr>
        <w:rPr>
          <w:rFonts w:cs="Arial"/>
        </w:rPr>
      </w:pPr>
    </w:p>
    <w:p w14:paraId="23B6F98F" w14:textId="77777777" w:rsidR="003E0E9E" w:rsidRDefault="009E2C68" w:rsidP="00A53453">
      <w:pPr>
        <w:rPr>
          <w:rFonts w:cs="Arial"/>
        </w:rPr>
      </w:pPr>
      <w:r w:rsidRPr="009E2C68">
        <w:rPr>
          <w:rFonts w:cs="Arial"/>
        </w:rPr>
        <w:t>25</w:t>
      </w:r>
      <w:r w:rsidR="009A2BB1" w:rsidRPr="009E2C68">
        <w:rPr>
          <w:rFonts w:cs="Arial"/>
        </w:rPr>
        <w:t xml:space="preserve"> * 0.01 * 0.1 + 0.01 *</w:t>
      </w:r>
      <w:r w:rsidRPr="009E2C68">
        <w:rPr>
          <w:rFonts w:cs="Arial"/>
        </w:rPr>
        <w:t xml:space="preserve"> (1 - 0.55) * (1 - 0.10) = 0.136</w:t>
      </w:r>
      <w:r w:rsidR="009A2BB1" w:rsidRPr="009E2C68">
        <w:rPr>
          <w:rFonts w:cs="Arial"/>
        </w:rPr>
        <w:t xml:space="preserve"> tCO</w:t>
      </w:r>
      <w:r w:rsidR="009A2BB1" w:rsidRPr="009E2C68">
        <w:rPr>
          <w:rFonts w:cs="Arial"/>
          <w:vertAlign w:val="subscript"/>
        </w:rPr>
        <w:t>2</w:t>
      </w:r>
      <w:r w:rsidR="009A2BB1" w:rsidRPr="009E2C68">
        <w:rPr>
          <w:rFonts w:cs="Arial"/>
        </w:rPr>
        <w:t>e</w:t>
      </w:r>
    </w:p>
    <w:p w14:paraId="3D90A782" w14:textId="77777777" w:rsidR="009E2C68" w:rsidRDefault="009E2C68" w:rsidP="00A53453">
      <w:pPr>
        <w:rPr>
          <w:rFonts w:cs="Arial"/>
        </w:rPr>
      </w:pPr>
    </w:p>
    <w:p w14:paraId="717707C8" w14:textId="77777777" w:rsidR="009E2C68" w:rsidRPr="009E2C68" w:rsidRDefault="009E2C68" w:rsidP="00A53453">
      <w:pPr>
        <w:rPr>
          <w:u w:val="single"/>
        </w:rPr>
      </w:pPr>
      <w:r>
        <w:t xml:space="preserve">Project emissions from the animal waste not treated in the bio digester in the project scenario will be zero since the non-treated animals in the project scenario will have the same situation as they would have had in the baseline. </w:t>
      </w:r>
    </w:p>
    <w:p w14:paraId="7E727086" w14:textId="77777777" w:rsidR="001E77FB" w:rsidRDefault="001E77FB" w:rsidP="00A53453">
      <w:pPr>
        <w:rPr>
          <w:rFonts w:cs="Arial"/>
        </w:rPr>
      </w:pPr>
    </w:p>
    <w:p w14:paraId="0753C20A" w14:textId="77777777" w:rsidR="003E0E9E" w:rsidRDefault="003E0E9E" w:rsidP="003E0E9E">
      <w:pPr>
        <w:rPr>
          <w:rFonts w:cs="Arial"/>
        </w:rPr>
      </w:pPr>
    </w:p>
    <w:p w14:paraId="3347A8C4" w14:textId="77777777" w:rsidR="00EA1096" w:rsidRDefault="00EA1096" w:rsidP="003E0E9E">
      <w:pPr>
        <w:rPr>
          <w:u w:val="single"/>
        </w:rPr>
      </w:pPr>
      <w:r w:rsidRPr="0009510B">
        <w:rPr>
          <w:u w:val="single"/>
        </w:rPr>
        <w:t xml:space="preserve">Project emissions from bio-slurry </w:t>
      </w:r>
    </w:p>
    <w:p w14:paraId="5F222458" w14:textId="77777777" w:rsidR="009A2BB1" w:rsidRPr="009A2BB1" w:rsidRDefault="009A2BB1" w:rsidP="003E0E9E">
      <w:r>
        <w:t>In order to estimate the project emissions occurring from bioslurry, the following steps are followed:</w:t>
      </w:r>
    </w:p>
    <w:p w14:paraId="3BD92633" w14:textId="77777777" w:rsidR="0009510B" w:rsidRPr="0009510B" w:rsidRDefault="0009510B" w:rsidP="003E0E9E"/>
    <w:p w14:paraId="149B5164" w14:textId="77777777" w:rsidR="0009510B" w:rsidRDefault="0009510B" w:rsidP="003E0E9E">
      <w:pPr>
        <w:rPr>
          <w:b/>
        </w:rPr>
      </w:pPr>
      <w:r w:rsidRPr="0009510B">
        <w:rPr>
          <w:b/>
        </w:rPr>
        <w:t>Step 1</w:t>
      </w:r>
      <w:r>
        <w:rPr>
          <w:b/>
        </w:rPr>
        <w:t>: estimation of the total amount of VS entering the biodigester</w:t>
      </w:r>
    </w:p>
    <w:p w14:paraId="258E1B28" w14:textId="77777777" w:rsidR="0009510B" w:rsidRPr="0009510B" w:rsidRDefault="0009510B" w:rsidP="003E0E9E">
      <w:r>
        <w:t xml:space="preserve">To estimate the total amount of </w:t>
      </w:r>
      <w:r w:rsidR="009A2BB1">
        <w:t>Volatile Solids (</w:t>
      </w:r>
      <w:r>
        <w:t>VS</w:t>
      </w:r>
      <w:r w:rsidR="009A2BB1">
        <w:t>) that enters the biogas digester</w:t>
      </w:r>
      <w:r>
        <w:t xml:space="preserve">, </w:t>
      </w:r>
      <w:r w:rsidR="00FE36F8">
        <w:t>for each animal, the VS excretion in kg/day is multiplied with the average number of animals owned by households with a biodigester. This results in a total amount of VS excreted per animal per day. Next, these</w:t>
      </w:r>
      <w:r w:rsidR="00284E65">
        <w:t xml:space="preserve"> totals are multiplied with the share </w:t>
      </w:r>
      <w:r w:rsidR="005B102C">
        <w:t xml:space="preserve">of bioslurry </w:t>
      </w:r>
      <w:r w:rsidR="00284E65">
        <w:t>fed into the biodigester for each animal, resulting in the total VS entering the biodigester per day. The sum of VS entering the biodigester from all animals combined is 9.24 kgVS.day</w:t>
      </w:r>
      <w:r w:rsidR="00284E65">
        <w:rPr>
          <w:vertAlign w:val="superscript"/>
        </w:rPr>
        <w:t>-1</w:t>
      </w:r>
      <w:r w:rsidR="00284E65">
        <w:t xml:space="preserve">. </w:t>
      </w:r>
      <w:r w:rsidR="00FE36F8">
        <w:t xml:space="preserve"> </w:t>
      </w:r>
    </w:p>
    <w:p w14:paraId="57B49F5A" w14:textId="77777777" w:rsidR="0009510B" w:rsidRPr="0009510B" w:rsidRDefault="0009510B" w:rsidP="003E0E9E">
      <w:pPr>
        <w:rPr>
          <w:b/>
        </w:rPr>
      </w:pPr>
    </w:p>
    <w:p w14:paraId="47522705" w14:textId="77777777" w:rsidR="0009510B" w:rsidRDefault="0009510B" w:rsidP="003E0E9E">
      <w:pPr>
        <w:rPr>
          <w:b/>
        </w:rPr>
      </w:pPr>
      <w:r w:rsidRPr="0009510B">
        <w:rPr>
          <w:b/>
        </w:rPr>
        <w:t>Step 2</w:t>
      </w:r>
      <w:r>
        <w:rPr>
          <w:b/>
        </w:rPr>
        <w:t xml:space="preserve">: assessment of remaining VS content of bio-slurry </w:t>
      </w:r>
    </w:p>
    <w:p w14:paraId="35AFD72A" w14:textId="77777777" w:rsidR="00284E65" w:rsidRDefault="00284E65" w:rsidP="003E0E9E">
      <w:r>
        <w:t>The second step is the assessment of remaining VS content. The figure is calculated by subtracting the percentage of VS that is destroyed in the biodigester from the total VS entering the biodigester. The resulting total VS in bio-slurry is:</w:t>
      </w:r>
    </w:p>
    <w:p w14:paraId="35DE32C3" w14:textId="77777777" w:rsidR="00284E65" w:rsidRDefault="00284E65" w:rsidP="003E0E9E"/>
    <w:p w14:paraId="284E27C7" w14:textId="77777777" w:rsidR="0009510B" w:rsidRDefault="00284E65" w:rsidP="003E0E9E">
      <w:r>
        <w:lastRenderedPageBreak/>
        <w:t>9.24 kgVS.day</w:t>
      </w:r>
      <w:r>
        <w:rPr>
          <w:vertAlign w:val="superscript"/>
        </w:rPr>
        <w:t xml:space="preserve">-1 </w:t>
      </w:r>
      <w:r w:rsidR="009A2BB1">
        <w:t>*</w:t>
      </w:r>
      <w:r>
        <w:t xml:space="preserve"> 45% = 4.16 kgVS.day</w:t>
      </w:r>
      <w:r>
        <w:rPr>
          <w:vertAlign w:val="superscript"/>
        </w:rPr>
        <w:t>-1</w:t>
      </w:r>
      <w:r>
        <w:t xml:space="preserve">. </w:t>
      </w:r>
    </w:p>
    <w:p w14:paraId="5958B4F7" w14:textId="77777777" w:rsidR="00284E65" w:rsidRPr="00284E65" w:rsidRDefault="00284E65" w:rsidP="003E0E9E">
      <w:pPr>
        <w:rPr>
          <w:b/>
        </w:rPr>
      </w:pPr>
    </w:p>
    <w:p w14:paraId="3B233FFF" w14:textId="77777777" w:rsidR="0009510B" w:rsidRDefault="0009510B" w:rsidP="003E0E9E">
      <w:pPr>
        <w:rPr>
          <w:b/>
        </w:rPr>
      </w:pPr>
      <w:r w:rsidRPr="0009510B">
        <w:rPr>
          <w:b/>
        </w:rPr>
        <w:t>Step 3</w:t>
      </w:r>
      <w:r>
        <w:rPr>
          <w:b/>
        </w:rPr>
        <w:t>: assessment of the methane potential of bioslurry</w:t>
      </w:r>
    </w:p>
    <w:p w14:paraId="525AF26D" w14:textId="77777777" w:rsidR="0009510B" w:rsidRDefault="009E2C68" w:rsidP="003E0E9E">
      <w:r w:rsidRPr="009E2C68">
        <w:t>To assess the methane potential of bio-slurry under the project scenario, for each animal the maximum methane producing capacity of the manure is multiplied by the remaining CH4 production capacity of liquid digestate (Fww,CH4) (EB  96 Annex 7). The resulting figure is multiplied with the total VS entering the biodigester per animal and proportionally weighted, resulting in an average methane potential per digester of 0.02</w:t>
      </w:r>
      <w:r w:rsidR="00074D1F">
        <w:t>6</w:t>
      </w:r>
      <w:r w:rsidRPr="009E2C68">
        <w:t xml:space="preserve"> m</w:t>
      </w:r>
      <w:r w:rsidRPr="00074D1F">
        <w:rPr>
          <w:vertAlign w:val="superscript"/>
        </w:rPr>
        <w:t>3</w:t>
      </w:r>
      <w:r w:rsidRPr="009E2C68">
        <w:t>CH</w:t>
      </w:r>
      <w:r w:rsidRPr="00074D1F">
        <w:rPr>
          <w:vertAlign w:val="subscript"/>
        </w:rPr>
        <w:t>4</w:t>
      </w:r>
      <w:r w:rsidRPr="009E2C68">
        <w:t>/kgVS per day.</w:t>
      </w:r>
    </w:p>
    <w:p w14:paraId="061322CE" w14:textId="77777777" w:rsidR="009E2C68" w:rsidRPr="0009510B" w:rsidRDefault="009E2C68" w:rsidP="003E0E9E">
      <w:pPr>
        <w:rPr>
          <w:b/>
        </w:rPr>
      </w:pPr>
    </w:p>
    <w:p w14:paraId="272AFF32" w14:textId="77777777" w:rsidR="0009510B" w:rsidRPr="0009510B" w:rsidRDefault="0009510B" w:rsidP="003E0E9E">
      <w:pPr>
        <w:rPr>
          <w:b/>
        </w:rPr>
      </w:pPr>
      <w:r w:rsidRPr="0009510B">
        <w:rPr>
          <w:b/>
        </w:rPr>
        <w:t>Step 4</w:t>
      </w:r>
      <w:r>
        <w:rPr>
          <w:b/>
        </w:rPr>
        <w:t xml:space="preserve">: calculation of bio-slurry emissions </w:t>
      </w:r>
    </w:p>
    <w:p w14:paraId="378CEA25" w14:textId="77777777" w:rsidR="003D5E9B" w:rsidRDefault="003D5E9B" w:rsidP="003E0E9E">
      <w:r>
        <w:t>Next, to calculate the total project bio-slurry emissions, the following formula is applied:</w:t>
      </w:r>
    </w:p>
    <w:p w14:paraId="33FF6422" w14:textId="77777777" w:rsidR="003D5E9B" w:rsidRDefault="003D5E9B" w:rsidP="003E0E9E"/>
    <w:p w14:paraId="67B14C42" w14:textId="77777777" w:rsidR="0009510B" w:rsidRDefault="005B102C" w:rsidP="003E0E9E">
      <w:pPr>
        <w:rPr>
          <w:vertAlign w:val="subscript"/>
        </w:rPr>
      </w:pPr>
      <w:r>
        <w:t>PE</w:t>
      </w:r>
      <w:r w:rsidRPr="005B102C">
        <w:rPr>
          <w:vertAlign w:val="subscript"/>
        </w:rPr>
        <w:t>p1</w:t>
      </w:r>
      <w:r>
        <w:t xml:space="preserve"> </w:t>
      </w:r>
      <w:r w:rsidRPr="005B102C">
        <w:rPr>
          <w:vertAlign w:val="subscript"/>
        </w:rPr>
        <w:t>bio-slurry</w:t>
      </w:r>
      <w:r w:rsidR="003D5E9B">
        <w:t xml:space="preserve"> = (total VS in biodigesters * 365) *</w:t>
      </w:r>
      <w:r>
        <w:t xml:space="preserve"> Bo,</w:t>
      </w:r>
      <w:r w:rsidR="003D5E9B" w:rsidRPr="005B102C">
        <w:rPr>
          <w:vertAlign w:val="subscript"/>
        </w:rPr>
        <w:t>dig</w:t>
      </w:r>
      <w:r w:rsidR="003D5E9B">
        <w:t xml:space="preserve"> * </w:t>
      </w:r>
      <w:r w:rsidR="003D5E9B">
        <w:rPr>
          <w:rFonts w:cs="Arial"/>
        </w:rPr>
        <w:t>Ʃ</w:t>
      </w:r>
      <w:r w:rsidR="003D5E9B">
        <w:t>DMS * MCF *(D</w:t>
      </w:r>
      <w:r w:rsidR="003D5E9B">
        <w:rPr>
          <w:vertAlign w:val="subscript"/>
        </w:rPr>
        <w:t xml:space="preserve">ch4 </w:t>
      </w:r>
      <w:r w:rsidR="003D5E9B">
        <w:t>/1000) * GWP</w:t>
      </w:r>
      <w:r w:rsidR="003D5E9B">
        <w:rPr>
          <w:vertAlign w:val="subscript"/>
        </w:rPr>
        <w:t>CH4</w:t>
      </w:r>
    </w:p>
    <w:p w14:paraId="17C76D00" w14:textId="77777777" w:rsidR="00C61A4B" w:rsidRDefault="00C61A4B" w:rsidP="003E0E9E"/>
    <w:p w14:paraId="58AD577D" w14:textId="77777777" w:rsidR="00C61A4B" w:rsidRDefault="00C61A4B" w:rsidP="00C61A4B">
      <w:pPr>
        <w:rPr>
          <w:rFonts w:cs="Arial"/>
        </w:rPr>
      </w:pPr>
      <w:r>
        <w:rPr>
          <w:rFonts w:cs="Arial"/>
        </w:rPr>
        <w:t xml:space="preserve">Where: </w:t>
      </w:r>
    </w:p>
    <w:p w14:paraId="0D0242FC" w14:textId="77777777" w:rsidR="00C61A4B" w:rsidRDefault="00C61A4B" w:rsidP="00C61A4B">
      <w:pPr>
        <w:rPr>
          <w:rFonts w:cs="Arial"/>
          <w:b/>
        </w:rPr>
      </w:pPr>
    </w:p>
    <w:p w14:paraId="2AD07898" w14:textId="77777777" w:rsidR="00C61A4B" w:rsidRDefault="00C61A4B" w:rsidP="00C61A4B">
      <w:pPr>
        <w:suppressAutoHyphens/>
        <w:ind w:left="1872" w:hanging="1248"/>
        <w:jc w:val="left"/>
        <w:rPr>
          <w:rFonts w:cs="Arial"/>
          <w:szCs w:val="22"/>
          <w:lang w:eastAsia="ar-SA"/>
        </w:rPr>
      </w:pPr>
      <w:r>
        <w:t>PE</w:t>
      </w:r>
      <w:r w:rsidRPr="005B102C">
        <w:rPr>
          <w:vertAlign w:val="subscript"/>
        </w:rPr>
        <w:t>p1</w:t>
      </w:r>
      <w:r>
        <w:t xml:space="preserve"> </w:t>
      </w:r>
      <w:r w:rsidRPr="005B102C">
        <w:rPr>
          <w:vertAlign w:val="subscript"/>
        </w:rPr>
        <w:t>bio-slurry</w:t>
      </w:r>
      <w:r>
        <w:rPr>
          <w:rFonts w:cs="Arial"/>
          <w:szCs w:val="22"/>
          <w:lang w:eastAsia="ar-SA"/>
        </w:rPr>
        <w:tab/>
      </w:r>
      <w:r w:rsidR="00074D1F">
        <w:rPr>
          <w:rFonts w:cs="Arial"/>
          <w:szCs w:val="22"/>
          <w:lang w:eastAsia="ar-SA"/>
        </w:rPr>
        <w:tab/>
      </w:r>
      <w:r w:rsidR="008668C2">
        <w:rPr>
          <w:rFonts w:cs="Arial"/>
          <w:szCs w:val="22"/>
          <w:lang w:eastAsia="ar-SA"/>
        </w:rPr>
        <w:t xml:space="preserve">Project emissions from bio-slurry </w:t>
      </w:r>
    </w:p>
    <w:p w14:paraId="1AAF17CB" w14:textId="77777777" w:rsidR="00C61A4B" w:rsidRDefault="00C61A4B" w:rsidP="00C61A4B">
      <w:pPr>
        <w:suppressAutoHyphens/>
        <w:ind w:firstLine="624"/>
        <w:jc w:val="left"/>
        <w:rPr>
          <w:rFonts w:cs="Arial"/>
          <w:szCs w:val="22"/>
          <w:lang w:eastAsia="ar-SA"/>
        </w:rPr>
      </w:pPr>
    </w:p>
    <w:p w14:paraId="4A307F8B" w14:textId="77777777" w:rsidR="00C61A4B" w:rsidRPr="008668C2" w:rsidRDefault="00C61A4B" w:rsidP="00C61A4B">
      <w:pPr>
        <w:suppressAutoHyphens/>
        <w:ind w:left="1872" w:hanging="1248"/>
        <w:jc w:val="left"/>
        <w:rPr>
          <w:rFonts w:cs="Arial"/>
          <w:szCs w:val="22"/>
          <w:lang w:eastAsia="ar-SA"/>
        </w:rPr>
      </w:pPr>
      <w:r>
        <w:t>Bo,</w:t>
      </w:r>
      <w:r w:rsidRPr="005B102C">
        <w:rPr>
          <w:vertAlign w:val="subscript"/>
        </w:rPr>
        <w:t>dig</w:t>
      </w:r>
      <w:r>
        <w:rPr>
          <w:rFonts w:cs="Arial"/>
          <w:szCs w:val="22"/>
          <w:lang w:eastAsia="ar-SA"/>
        </w:rPr>
        <w:tab/>
      </w:r>
      <w:r w:rsidR="008668C2">
        <w:rPr>
          <w:rFonts w:cs="Arial"/>
          <w:szCs w:val="22"/>
          <w:lang w:eastAsia="ar-SA"/>
        </w:rPr>
        <w:tab/>
      </w:r>
      <w:r w:rsidR="008668C2" w:rsidRPr="00A701FD">
        <w:rPr>
          <w:rFonts w:eastAsia="MS Mincho" w:cs="Arial"/>
          <w:szCs w:val="22"/>
          <w:lang w:val="en-US" w:eastAsia="en-US"/>
        </w:rPr>
        <w:t xml:space="preserve">Maximum methane production capacity for </w:t>
      </w:r>
      <w:r w:rsidR="008668C2">
        <w:rPr>
          <w:rFonts w:eastAsia="MS Mincho" w:cs="Arial"/>
          <w:szCs w:val="22"/>
          <w:lang w:val="en-US" w:eastAsia="en-US"/>
        </w:rPr>
        <w:t>the biodigester (m</w:t>
      </w:r>
      <w:r w:rsidR="008668C2">
        <w:rPr>
          <w:rFonts w:eastAsia="MS Mincho" w:cs="Arial"/>
          <w:szCs w:val="22"/>
          <w:vertAlign w:val="superscript"/>
          <w:lang w:val="en-US" w:eastAsia="en-US"/>
        </w:rPr>
        <w:t>3</w:t>
      </w:r>
      <w:r w:rsidR="008668C2">
        <w:rPr>
          <w:rFonts w:eastAsia="MS Mincho" w:cs="Arial"/>
          <w:szCs w:val="22"/>
          <w:lang w:val="en-US" w:eastAsia="en-US"/>
        </w:rPr>
        <w:t>CH4/kgVS)</w:t>
      </w:r>
    </w:p>
    <w:p w14:paraId="4199C532" w14:textId="77777777" w:rsidR="00C61A4B" w:rsidRDefault="00C61A4B" w:rsidP="00C61A4B">
      <w:pPr>
        <w:suppressAutoHyphens/>
        <w:ind w:left="1872" w:hanging="1248"/>
        <w:jc w:val="left"/>
        <w:rPr>
          <w:rFonts w:cs="Arial"/>
          <w:szCs w:val="22"/>
          <w:lang w:eastAsia="ar-SA"/>
        </w:rPr>
      </w:pPr>
    </w:p>
    <w:p w14:paraId="432EF6DD" w14:textId="77777777" w:rsidR="00C61A4B" w:rsidRDefault="00C61A4B" w:rsidP="00C61A4B">
      <w:pPr>
        <w:suppressAutoHyphens/>
        <w:autoSpaceDE w:val="0"/>
        <w:autoSpaceDN w:val="0"/>
        <w:adjustRightInd w:val="0"/>
        <w:ind w:left="1872" w:hanging="1248"/>
        <w:jc w:val="left"/>
        <w:rPr>
          <w:rFonts w:cs="Arial"/>
          <w:szCs w:val="22"/>
          <w:lang w:eastAsia="ar-SA"/>
        </w:rPr>
      </w:pPr>
      <w:r w:rsidRPr="009E2C68">
        <w:t>DMS</w:t>
      </w:r>
      <w:r>
        <w:rPr>
          <w:rFonts w:cs="Arial"/>
          <w:szCs w:val="22"/>
          <w:lang w:eastAsia="ar-SA"/>
        </w:rPr>
        <w:tab/>
      </w:r>
      <w:r w:rsidR="008668C2">
        <w:rPr>
          <w:rFonts w:cs="Arial"/>
          <w:szCs w:val="22"/>
          <w:lang w:eastAsia="ar-SA"/>
        </w:rPr>
        <w:tab/>
      </w:r>
      <w:r w:rsidR="00837A9F">
        <w:rPr>
          <w:rFonts w:cs="Arial"/>
          <w:szCs w:val="22"/>
          <w:lang w:eastAsia="ar-SA"/>
        </w:rPr>
        <w:t>Bioslurry management</w:t>
      </w:r>
      <w:r w:rsidR="009E2C68">
        <w:rPr>
          <w:rFonts w:cs="Arial"/>
          <w:szCs w:val="22"/>
          <w:lang w:eastAsia="ar-SA"/>
        </w:rPr>
        <w:t xml:space="preserve"> practice</w:t>
      </w:r>
      <w:r w:rsidR="00837A9F">
        <w:rPr>
          <w:rFonts w:cs="Arial"/>
          <w:szCs w:val="22"/>
          <w:lang w:eastAsia="ar-SA"/>
        </w:rPr>
        <w:t>, as a fraction</w:t>
      </w:r>
    </w:p>
    <w:p w14:paraId="7BC1651B" w14:textId="77777777" w:rsidR="00C61A4B" w:rsidRDefault="00C61A4B" w:rsidP="00C61A4B">
      <w:pPr>
        <w:suppressAutoHyphens/>
        <w:autoSpaceDE w:val="0"/>
        <w:autoSpaceDN w:val="0"/>
        <w:adjustRightInd w:val="0"/>
        <w:ind w:left="1872" w:hanging="1248"/>
        <w:jc w:val="left"/>
        <w:rPr>
          <w:rFonts w:cs="Arial"/>
          <w:szCs w:val="22"/>
          <w:lang w:eastAsia="ar-SA"/>
        </w:rPr>
      </w:pPr>
    </w:p>
    <w:p w14:paraId="4550C16F" w14:textId="77777777" w:rsidR="00C61A4B" w:rsidRDefault="00C61A4B" w:rsidP="00C61A4B">
      <w:pPr>
        <w:suppressAutoHyphens/>
        <w:ind w:left="1872" w:hanging="1248"/>
        <w:jc w:val="left"/>
        <w:rPr>
          <w:rFonts w:cs="Arial"/>
          <w:szCs w:val="22"/>
          <w:lang w:eastAsia="ar-SA"/>
        </w:rPr>
      </w:pPr>
      <w:r>
        <w:t>MCF</w:t>
      </w:r>
      <w:r>
        <w:rPr>
          <w:rFonts w:cs="Arial"/>
          <w:szCs w:val="22"/>
          <w:lang w:eastAsia="ar-SA"/>
        </w:rPr>
        <w:tab/>
      </w:r>
      <w:r>
        <w:rPr>
          <w:rFonts w:cs="Arial"/>
          <w:szCs w:val="22"/>
          <w:lang w:eastAsia="ar-SA"/>
        </w:rPr>
        <w:tab/>
      </w:r>
      <w:r w:rsidR="008668C2" w:rsidRPr="00A701FD">
        <w:rPr>
          <w:rFonts w:eastAsia="MS Mincho" w:cs="Arial"/>
          <w:szCs w:val="22"/>
          <w:lang w:val="en-US" w:eastAsia="en-US"/>
        </w:rPr>
        <w:t>Methane conversion factor</w:t>
      </w:r>
      <w:r>
        <w:rPr>
          <w:rFonts w:cs="Arial"/>
          <w:szCs w:val="22"/>
          <w:lang w:eastAsia="ar-SA"/>
        </w:rPr>
        <w:tab/>
      </w:r>
      <w:r>
        <w:rPr>
          <w:rFonts w:cs="Arial"/>
          <w:szCs w:val="22"/>
          <w:lang w:eastAsia="ar-SA"/>
        </w:rPr>
        <w:tab/>
      </w:r>
      <w:r>
        <w:rPr>
          <w:rFonts w:cs="Arial"/>
          <w:szCs w:val="22"/>
          <w:lang w:eastAsia="ar-SA"/>
        </w:rPr>
        <w:tab/>
      </w:r>
      <w:r>
        <w:rPr>
          <w:rFonts w:cs="Arial"/>
          <w:szCs w:val="22"/>
          <w:lang w:eastAsia="ar-SA"/>
        </w:rPr>
        <w:tab/>
      </w:r>
      <w:r>
        <w:rPr>
          <w:rFonts w:cs="Arial"/>
          <w:szCs w:val="22"/>
          <w:lang w:eastAsia="ar-SA"/>
        </w:rPr>
        <w:tab/>
      </w:r>
      <w:r>
        <w:rPr>
          <w:rFonts w:cs="Arial"/>
          <w:szCs w:val="22"/>
          <w:lang w:eastAsia="ar-SA"/>
        </w:rPr>
        <w:tab/>
      </w:r>
      <w:r>
        <w:rPr>
          <w:rFonts w:cs="Arial"/>
          <w:szCs w:val="22"/>
          <w:lang w:eastAsia="ar-SA"/>
        </w:rPr>
        <w:tab/>
      </w:r>
    </w:p>
    <w:p w14:paraId="46198648" w14:textId="77777777" w:rsidR="00C61A4B" w:rsidRDefault="00C61A4B" w:rsidP="00C61A4B">
      <w:pPr>
        <w:suppressAutoHyphens/>
        <w:ind w:left="1872" w:hanging="1248"/>
        <w:jc w:val="left"/>
        <w:rPr>
          <w:rFonts w:cs="Arial"/>
          <w:szCs w:val="22"/>
          <w:lang w:eastAsia="ar-SA"/>
        </w:rPr>
      </w:pPr>
    </w:p>
    <w:p w14:paraId="5C415285" w14:textId="77777777" w:rsidR="00C61A4B" w:rsidRPr="00D063C6" w:rsidRDefault="00C61A4B" w:rsidP="00C61A4B">
      <w:pPr>
        <w:suppressAutoHyphens/>
        <w:ind w:left="1872" w:hanging="1248"/>
        <w:jc w:val="left"/>
      </w:pPr>
      <w:r>
        <w:t>D</w:t>
      </w:r>
      <w:r>
        <w:rPr>
          <w:vertAlign w:val="subscript"/>
        </w:rPr>
        <w:t>ch4</w:t>
      </w:r>
      <w:r w:rsidR="00D063C6">
        <w:rPr>
          <w:vertAlign w:val="subscript"/>
        </w:rPr>
        <w:tab/>
      </w:r>
      <w:r w:rsidR="00D063C6">
        <w:rPr>
          <w:vertAlign w:val="subscript"/>
        </w:rPr>
        <w:tab/>
      </w:r>
      <w:r w:rsidR="00D063C6">
        <w:t xml:space="preserve">Density of methane conversion factor </w:t>
      </w:r>
    </w:p>
    <w:p w14:paraId="51079467" w14:textId="77777777" w:rsidR="00C61A4B" w:rsidRDefault="00C61A4B" w:rsidP="00C61A4B">
      <w:pPr>
        <w:suppressAutoHyphens/>
        <w:ind w:left="1872" w:hanging="1248"/>
        <w:jc w:val="left"/>
      </w:pPr>
    </w:p>
    <w:p w14:paraId="2AD51653" w14:textId="77777777" w:rsidR="00C61A4B" w:rsidRDefault="00C61A4B" w:rsidP="00C61A4B">
      <w:pPr>
        <w:suppressAutoHyphens/>
        <w:ind w:left="1872" w:hanging="1248"/>
        <w:jc w:val="left"/>
        <w:rPr>
          <w:rFonts w:cs="Arial"/>
          <w:szCs w:val="22"/>
          <w:lang w:eastAsia="ar-SA"/>
        </w:rPr>
      </w:pPr>
      <w:r>
        <w:t>GWP</w:t>
      </w:r>
      <w:r>
        <w:rPr>
          <w:vertAlign w:val="subscript"/>
        </w:rPr>
        <w:t>CH4</w:t>
      </w:r>
      <w:r>
        <w:rPr>
          <w:rFonts w:cs="Arial"/>
          <w:szCs w:val="22"/>
          <w:lang w:eastAsia="ar-SA"/>
        </w:rPr>
        <w:tab/>
      </w:r>
      <w:r>
        <w:rPr>
          <w:rFonts w:cs="Arial"/>
          <w:szCs w:val="22"/>
          <w:lang w:eastAsia="ar-SA"/>
        </w:rPr>
        <w:tab/>
      </w:r>
      <w:r w:rsidR="00D063C6">
        <w:rPr>
          <w:rFonts w:cs="Arial"/>
          <w:szCs w:val="22"/>
          <w:lang w:eastAsia="ar-SA"/>
        </w:rPr>
        <w:t>Global Warming Potential of methane</w:t>
      </w:r>
    </w:p>
    <w:p w14:paraId="4BC63F00" w14:textId="77777777" w:rsidR="00C61A4B" w:rsidRPr="00C61A4B" w:rsidRDefault="00C61A4B" w:rsidP="003E0E9E"/>
    <w:p w14:paraId="0F6BBC78" w14:textId="77777777" w:rsidR="003D5E9B" w:rsidRDefault="003D5E9B" w:rsidP="003E0E9E">
      <w:r>
        <w:t>Therefore:</w:t>
      </w:r>
    </w:p>
    <w:p w14:paraId="3329F66D" w14:textId="77777777" w:rsidR="003D5E9B" w:rsidRDefault="003D5E9B" w:rsidP="003E0E9E"/>
    <w:p w14:paraId="6BDF7B3A" w14:textId="77777777" w:rsidR="003D5E9B" w:rsidRPr="00074D1F" w:rsidRDefault="005B102C" w:rsidP="003E0E9E">
      <w:r w:rsidRPr="00074D1F">
        <w:t>PE</w:t>
      </w:r>
      <w:r w:rsidRPr="00074D1F">
        <w:rPr>
          <w:vertAlign w:val="subscript"/>
        </w:rPr>
        <w:t>p1</w:t>
      </w:r>
      <w:r w:rsidRPr="00074D1F">
        <w:t xml:space="preserve"> </w:t>
      </w:r>
      <w:r w:rsidRPr="00074D1F">
        <w:rPr>
          <w:vertAlign w:val="subscript"/>
        </w:rPr>
        <w:t>bio-slurry</w:t>
      </w:r>
      <w:r w:rsidRPr="00074D1F">
        <w:t xml:space="preserve"> </w:t>
      </w:r>
      <w:r w:rsidR="00837A9F" w:rsidRPr="00074D1F">
        <w:t>= (4.16 *365) * 0.026</w:t>
      </w:r>
      <w:r w:rsidR="003D5E9B" w:rsidRPr="00074D1F">
        <w:t xml:space="preserve"> </w:t>
      </w:r>
      <w:r w:rsidR="00074D1F" w:rsidRPr="00074D1F">
        <w:t>* 36.14% * (0.67/1000) * 25</w:t>
      </w:r>
    </w:p>
    <w:p w14:paraId="778752C8" w14:textId="77777777" w:rsidR="003D5E9B" w:rsidRPr="003D5E9B" w:rsidRDefault="005B102C" w:rsidP="003E0E9E">
      <w:r w:rsidRPr="00074D1F">
        <w:t>PE</w:t>
      </w:r>
      <w:r w:rsidRPr="00074D1F">
        <w:rPr>
          <w:vertAlign w:val="subscript"/>
        </w:rPr>
        <w:t>p1</w:t>
      </w:r>
      <w:r w:rsidRPr="00074D1F">
        <w:t xml:space="preserve"> </w:t>
      </w:r>
      <w:r w:rsidRPr="00074D1F">
        <w:rPr>
          <w:vertAlign w:val="subscript"/>
        </w:rPr>
        <w:t>bio-slurry</w:t>
      </w:r>
      <w:r w:rsidRPr="00074D1F">
        <w:t xml:space="preserve"> </w:t>
      </w:r>
      <w:r w:rsidR="00074D1F" w:rsidRPr="00074D1F">
        <w:t>= 0.236</w:t>
      </w:r>
    </w:p>
    <w:p w14:paraId="1D7FC675" w14:textId="77777777" w:rsidR="00555010" w:rsidRDefault="00555010" w:rsidP="003E0E9E">
      <w:pPr>
        <w:rPr>
          <w:rFonts w:cs="Arial"/>
          <w:highlight w:val="yellow"/>
        </w:rPr>
      </w:pPr>
    </w:p>
    <w:p w14:paraId="49ED3D76" w14:textId="77777777" w:rsidR="009E2C68" w:rsidRDefault="009E2C68" w:rsidP="003E0E9E">
      <w:pPr>
        <w:rPr>
          <w:rFonts w:cs="Arial"/>
          <w:highlight w:val="yellow"/>
        </w:rPr>
      </w:pPr>
      <w:r w:rsidRPr="009E2C68">
        <w:rPr>
          <w:rFonts w:cs="Arial"/>
        </w:rPr>
        <w:t>As this is greater than 1% of emissions reductions per digester, emissions from bioslurry must be considered.</w:t>
      </w:r>
    </w:p>
    <w:p w14:paraId="2D5BB23B" w14:textId="77777777" w:rsidR="009E2C68" w:rsidRDefault="009E2C68" w:rsidP="003E0E9E">
      <w:pPr>
        <w:rPr>
          <w:rFonts w:cs="Arial"/>
          <w:highlight w:val="yellow"/>
        </w:rPr>
      </w:pPr>
    </w:p>
    <w:p w14:paraId="31D15D86" w14:textId="77777777" w:rsidR="009E2C68" w:rsidRPr="009E2C68" w:rsidRDefault="009E2C68" w:rsidP="009E2C68">
      <w:pPr>
        <w:rPr>
          <w:rFonts w:cs="Arial"/>
          <w:u w:val="single"/>
          <w:lang w:eastAsia="en-US"/>
        </w:rPr>
      </w:pPr>
      <w:r>
        <w:rPr>
          <w:rFonts w:cs="Arial"/>
          <w:u w:val="single"/>
          <w:lang w:eastAsia="en-US"/>
        </w:rPr>
        <w:t>Emission Reduction</w:t>
      </w:r>
    </w:p>
    <w:p w14:paraId="47FD9A39" w14:textId="77777777" w:rsidR="009E2C68" w:rsidRDefault="009E2C68" w:rsidP="009E2C68">
      <w:pPr>
        <w:rPr>
          <w:rFonts w:cs="Arial"/>
        </w:rPr>
      </w:pPr>
    </w:p>
    <w:p w14:paraId="67124D8D" w14:textId="77777777" w:rsidR="009E2C68" w:rsidRDefault="009E2C68" w:rsidP="009E2C68">
      <w:pPr>
        <w:rPr>
          <w:rFonts w:cs="Arial"/>
        </w:rPr>
      </w:pPr>
      <w:r>
        <w:rPr>
          <w:rFonts w:cs="Arial"/>
        </w:rPr>
        <w:t>Emission reductions per VPA will be calculated as:</w:t>
      </w:r>
    </w:p>
    <w:p w14:paraId="44361A0D" w14:textId="77777777" w:rsidR="009E2C68" w:rsidRDefault="009E2C68" w:rsidP="009E2C68">
      <w:pPr>
        <w:rPr>
          <w:rFonts w:cs="Arial"/>
        </w:rPr>
      </w:pPr>
    </w:p>
    <w:p w14:paraId="6A9239EA" w14:textId="77777777" w:rsidR="009E2C68" w:rsidRDefault="00B964EE" w:rsidP="009E2C68">
      <w:pPr>
        <w:rPr>
          <w:rFonts w:cs="Arial"/>
        </w:rPr>
      </w:pPr>
      <m:oMath>
        <m:sSub>
          <m:sSubPr>
            <m:ctrlPr>
              <w:rPr>
                <w:rFonts w:ascii="Cambria Math" w:eastAsia="Calibri" w:hAnsi="Cambria Math"/>
                <w:b/>
                <w:szCs w:val="22"/>
                <w:lang w:val="de-DE"/>
              </w:rPr>
            </m:ctrlPr>
          </m:sSubPr>
          <m:e>
            <m:r>
              <m:rPr>
                <m:sty m:val="b"/>
              </m:rPr>
              <w:rPr>
                <w:rFonts w:ascii="Cambria Math" w:hAnsi="Cambria Math"/>
                <w:szCs w:val="22"/>
              </w:rPr>
              <m:t>ER</m:t>
            </m:r>
          </m:e>
          <m:sub>
            <m:r>
              <m:rPr>
                <m:sty m:val="b"/>
              </m:rPr>
              <w:rPr>
                <w:rFonts w:ascii="Cambria Math" w:hAnsi="Cambria Math"/>
                <w:szCs w:val="22"/>
              </w:rPr>
              <m:t>CH4,y</m:t>
            </m:r>
          </m:sub>
        </m:sSub>
        <m:r>
          <m:rPr>
            <m:sty m:val="bi"/>
          </m:rPr>
          <w:rPr>
            <w:rFonts w:ascii="Cambria Math" w:hAnsi="Cambria Math"/>
            <w:szCs w:val="22"/>
          </w:rPr>
          <m:t>=</m:t>
        </m:r>
        <m:d>
          <m:dPr>
            <m:ctrlPr>
              <w:rPr>
                <w:rFonts w:ascii="Cambria Math" w:hAnsi="Cambria Math"/>
                <w:b/>
                <w:i/>
                <w:szCs w:val="22"/>
              </w:rPr>
            </m:ctrlPr>
          </m:dPr>
          <m:e>
            <m:sSub>
              <m:sSubPr>
                <m:ctrlPr>
                  <w:rPr>
                    <w:rFonts w:ascii="Cambria Math" w:eastAsia="Calibri" w:hAnsi="Cambria Math"/>
                    <w:szCs w:val="22"/>
                    <w:lang w:val="de-DE"/>
                  </w:rPr>
                </m:ctrlPr>
              </m:sSubPr>
              <m:e>
                <m:r>
                  <m:rPr>
                    <m:sty m:val="p"/>
                  </m:rPr>
                  <w:rPr>
                    <w:rFonts w:ascii="Cambria Math" w:hAnsi="Cambria Math"/>
                    <w:szCs w:val="22"/>
                  </w:rPr>
                  <m:t>BE</m:t>
                </m:r>
              </m:e>
              <m:sub>
                <m:r>
                  <m:rPr>
                    <m:sty m:val="p"/>
                  </m:rPr>
                  <w:rPr>
                    <w:rFonts w:ascii="Cambria Math" w:hAnsi="Cambria Math"/>
                    <w:szCs w:val="22"/>
                  </w:rPr>
                  <m:t xml:space="preserve">b,CH4,y </m:t>
                </m:r>
              </m:sub>
            </m:sSub>
            <m:r>
              <m:rPr>
                <m:sty m:val="bi"/>
              </m:rPr>
              <w:rPr>
                <w:rFonts w:ascii="Cambria Math" w:hAnsi="Cambria Math"/>
                <w:szCs w:val="22"/>
              </w:rPr>
              <m:t xml:space="preserve">- </m:t>
            </m:r>
            <m:sSub>
              <m:sSubPr>
                <m:ctrlPr>
                  <w:rPr>
                    <w:rFonts w:ascii="Cambria Math" w:eastAsia="Calibri" w:hAnsi="Cambria Math"/>
                    <w:szCs w:val="22"/>
                    <w:lang w:val="de-DE"/>
                  </w:rPr>
                </m:ctrlPr>
              </m:sSubPr>
              <m:e>
                <m:r>
                  <m:rPr>
                    <m:sty m:val="p"/>
                  </m:rPr>
                  <w:rPr>
                    <w:rFonts w:ascii="Cambria Math" w:hAnsi="Cambria Math"/>
                    <w:szCs w:val="22"/>
                  </w:rPr>
                  <m:t>PE</m:t>
                </m:r>
              </m:e>
              <m:sub>
                <m:r>
                  <m:rPr>
                    <m:sty m:val="p"/>
                  </m:rPr>
                  <w:rPr>
                    <w:rFonts w:ascii="Cambria Math" w:hAnsi="Cambria Math"/>
                    <w:szCs w:val="22"/>
                  </w:rPr>
                  <m:t>p,CH4,y</m:t>
                </m:r>
              </m:sub>
            </m:sSub>
            <m:ctrlPr>
              <w:rPr>
                <w:rFonts w:ascii="Cambria Math" w:eastAsia="Calibri" w:hAnsi="Cambria Math"/>
                <w:i/>
                <w:szCs w:val="22"/>
                <w:lang w:val="de-DE"/>
              </w:rPr>
            </m:ctrlPr>
          </m:e>
        </m:d>
        <m:r>
          <m:rPr>
            <m:sty m:val="p"/>
          </m:rPr>
          <w:rPr>
            <w:rFonts w:ascii="Cambria Math" w:eastAsia="Calibri" w:hAnsi="Cambria Math"/>
            <w:szCs w:val="22"/>
          </w:rPr>
          <m:t xml:space="preserve">* </m:t>
        </m:r>
        <m:sSub>
          <m:sSubPr>
            <m:ctrlPr>
              <w:rPr>
                <w:rFonts w:ascii="Cambria Math" w:eastAsia="Calibri" w:hAnsi="Cambria Math"/>
                <w:szCs w:val="22"/>
                <w:lang w:val="de-DE"/>
              </w:rPr>
            </m:ctrlPr>
          </m:sSubPr>
          <m:e>
            <m:r>
              <m:rPr>
                <m:sty m:val="p"/>
              </m:rPr>
              <w:rPr>
                <w:rFonts w:ascii="Cambria Math" w:eastAsia="Calibri" w:hAnsi="Cambria Math"/>
                <w:szCs w:val="22"/>
              </w:rPr>
              <m:t>N</m:t>
            </m:r>
          </m:e>
          <m:sub>
            <m:r>
              <m:rPr>
                <m:sty m:val="p"/>
              </m:rPr>
              <w:rPr>
                <w:rFonts w:ascii="Cambria Math" w:eastAsia="Calibri" w:hAnsi="Cambria Math"/>
                <w:szCs w:val="22"/>
              </w:rPr>
              <m:t>p,y</m:t>
            </m:r>
          </m:sub>
        </m:sSub>
        <m:sSub>
          <m:sSubPr>
            <m:ctrlPr>
              <w:rPr>
                <w:rFonts w:ascii="Cambria Math" w:eastAsia="Calibri" w:hAnsi="Cambria Math"/>
                <w:szCs w:val="22"/>
                <w:lang w:val="de-DE"/>
              </w:rPr>
            </m:ctrlPr>
          </m:sSubPr>
          <m:e>
            <m:r>
              <m:rPr>
                <m:sty m:val="p"/>
              </m:rPr>
              <w:rPr>
                <w:rFonts w:ascii="Cambria Math" w:eastAsia="Calibri" w:hAnsi="Cambria Math"/>
                <w:szCs w:val="22"/>
              </w:rPr>
              <m:t>* U</m:t>
            </m:r>
          </m:e>
          <m:sub>
            <m:r>
              <m:rPr>
                <m:sty m:val="p"/>
              </m:rPr>
              <w:rPr>
                <w:rFonts w:ascii="Cambria Math" w:eastAsia="Calibri" w:hAnsi="Cambria Math"/>
                <w:szCs w:val="22"/>
              </w:rPr>
              <m:t>p,y</m:t>
            </m:r>
          </m:sub>
        </m:sSub>
      </m:oMath>
      <w:r w:rsidR="009E2C68">
        <w:rPr>
          <w:rFonts w:cs="Arial"/>
        </w:rPr>
        <w:t xml:space="preserve">      </w:t>
      </w:r>
      <w:r w:rsidR="009E2C68">
        <w:rPr>
          <w:rFonts w:cs="Arial"/>
        </w:rPr>
        <w:tab/>
        <w:t xml:space="preserve">                                                                  </w:t>
      </w:r>
      <w:r w:rsidR="009E2C68">
        <w:rPr>
          <w:rFonts w:cs="Arial"/>
          <w:b/>
        </w:rPr>
        <w:t>(8)</w:t>
      </w:r>
      <w:r w:rsidR="009E2C68">
        <w:rPr>
          <w:rFonts w:cs="Arial"/>
        </w:rPr>
        <w:tab/>
      </w:r>
      <w:r w:rsidR="009E2C68">
        <w:rPr>
          <w:rFonts w:cs="Arial"/>
        </w:rPr>
        <w:tab/>
        <w:t xml:space="preserve">                                    </w:t>
      </w:r>
    </w:p>
    <w:p w14:paraId="06C4B402" w14:textId="77777777" w:rsidR="009E2C68" w:rsidRDefault="009E2C68" w:rsidP="009E2C68">
      <w:pPr>
        <w:rPr>
          <w:rFonts w:cs="Arial"/>
        </w:rPr>
      </w:pPr>
      <w:r>
        <w:rPr>
          <w:rFonts w:cs="Arial"/>
        </w:rPr>
        <w:t xml:space="preserve">Where: </w:t>
      </w:r>
    </w:p>
    <w:p w14:paraId="433A56B7" w14:textId="77777777" w:rsidR="009E2C68" w:rsidRDefault="009E2C68" w:rsidP="009E2C68">
      <w:pPr>
        <w:rPr>
          <w:rFonts w:cs="Arial"/>
          <w:b/>
        </w:rPr>
      </w:pPr>
    </w:p>
    <w:p w14:paraId="301D87D8" w14:textId="77777777" w:rsidR="009E2C68" w:rsidRDefault="009E2C68" w:rsidP="009E2C68">
      <w:pPr>
        <w:suppressAutoHyphens/>
        <w:ind w:left="1872" w:hanging="1248"/>
        <w:jc w:val="left"/>
        <w:rPr>
          <w:rFonts w:cs="Arial"/>
          <w:szCs w:val="22"/>
          <w:lang w:eastAsia="ar-SA"/>
        </w:rPr>
      </w:pPr>
      <w:r>
        <w:rPr>
          <w:rFonts w:cs="Arial"/>
          <w:szCs w:val="22"/>
          <w:lang w:eastAsia="ar-SA"/>
        </w:rPr>
        <w:t>ER</w:t>
      </w:r>
      <w:r>
        <w:rPr>
          <w:rFonts w:cs="Arial"/>
          <w:szCs w:val="22"/>
          <w:vertAlign w:val="subscript"/>
          <w:lang w:eastAsia="ar-SA"/>
        </w:rPr>
        <w:t>CH4,y</w:t>
      </w:r>
      <w:r>
        <w:rPr>
          <w:rFonts w:cs="Arial"/>
          <w:szCs w:val="22"/>
          <w:lang w:eastAsia="ar-SA"/>
        </w:rPr>
        <w:tab/>
        <w:t>Methane emissions reductions in year y (tCO</w:t>
      </w:r>
      <w:r>
        <w:rPr>
          <w:rFonts w:cs="Arial"/>
          <w:szCs w:val="22"/>
          <w:vertAlign w:val="subscript"/>
          <w:lang w:eastAsia="ar-SA"/>
        </w:rPr>
        <w:t>2</w:t>
      </w:r>
      <w:r>
        <w:rPr>
          <w:rFonts w:cs="Arial"/>
          <w:szCs w:val="22"/>
          <w:lang w:eastAsia="ar-SA"/>
        </w:rPr>
        <w:t>)</w:t>
      </w:r>
    </w:p>
    <w:p w14:paraId="77F12961" w14:textId="77777777" w:rsidR="009E2C68" w:rsidRDefault="009E2C68" w:rsidP="009E2C68">
      <w:pPr>
        <w:suppressAutoHyphens/>
        <w:ind w:firstLine="624"/>
        <w:jc w:val="left"/>
        <w:rPr>
          <w:rFonts w:cs="Arial"/>
          <w:szCs w:val="22"/>
          <w:lang w:eastAsia="ar-SA"/>
        </w:rPr>
      </w:pPr>
    </w:p>
    <w:p w14:paraId="79CD6C1D" w14:textId="77777777" w:rsidR="009E2C68" w:rsidRDefault="009E2C68" w:rsidP="009E2C68">
      <w:pPr>
        <w:suppressAutoHyphens/>
        <w:ind w:left="1872" w:hanging="1248"/>
        <w:jc w:val="left"/>
        <w:rPr>
          <w:rFonts w:cs="Arial"/>
          <w:szCs w:val="22"/>
          <w:lang w:eastAsia="ar-SA"/>
        </w:rPr>
      </w:pPr>
      <w:r>
        <w:rPr>
          <w:rFonts w:cs="Arial"/>
          <w:szCs w:val="22"/>
          <w:lang w:eastAsia="ar-SA"/>
        </w:rPr>
        <w:t>BE</w:t>
      </w:r>
      <w:r>
        <w:rPr>
          <w:rFonts w:cs="Arial"/>
          <w:szCs w:val="22"/>
          <w:vertAlign w:val="subscript"/>
          <w:lang w:eastAsia="ar-SA"/>
        </w:rPr>
        <w:t>b,CH4,y</w:t>
      </w:r>
      <w:r>
        <w:rPr>
          <w:rFonts w:cs="Arial"/>
          <w:szCs w:val="22"/>
          <w:lang w:eastAsia="ar-SA"/>
        </w:rPr>
        <w:tab/>
        <w:t>Baseline methane emissions during the year y (tCO</w:t>
      </w:r>
      <w:r>
        <w:rPr>
          <w:rFonts w:cs="Arial"/>
          <w:szCs w:val="22"/>
          <w:vertAlign w:val="subscript"/>
          <w:lang w:eastAsia="ar-SA"/>
        </w:rPr>
        <w:t>2</w:t>
      </w:r>
      <w:r>
        <w:rPr>
          <w:rFonts w:cs="Arial"/>
          <w:szCs w:val="22"/>
          <w:lang w:eastAsia="ar-SA"/>
        </w:rPr>
        <w:t>)</w:t>
      </w:r>
    </w:p>
    <w:p w14:paraId="58B99ABB" w14:textId="77777777" w:rsidR="009E2C68" w:rsidRDefault="009E2C68" w:rsidP="009E2C68">
      <w:pPr>
        <w:suppressAutoHyphens/>
        <w:ind w:firstLine="624"/>
        <w:jc w:val="left"/>
        <w:rPr>
          <w:rFonts w:cs="Arial"/>
          <w:szCs w:val="22"/>
          <w:lang w:eastAsia="ar-SA"/>
        </w:rPr>
      </w:pPr>
    </w:p>
    <w:p w14:paraId="6371DE0F" w14:textId="77777777" w:rsidR="009E2C68" w:rsidRDefault="009E2C68" w:rsidP="009E2C68">
      <w:pPr>
        <w:suppressAutoHyphens/>
        <w:ind w:left="1872" w:hanging="1248"/>
        <w:jc w:val="left"/>
        <w:rPr>
          <w:rFonts w:cs="Arial"/>
          <w:szCs w:val="22"/>
          <w:lang w:eastAsia="ar-SA"/>
        </w:rPr>
      </w:pPr>
      <w:r>
        <w:rPr>
          <w:rFonts w:cs="Arial"/>
          <w:szCs w:val="22"/>
          <w:lang w:eastAsia="ar-SA"/>
        </w:rPr>
        <w:t>PE</w:t>
      </w:r>
      <w:r>
        <w:rPr>
          <w:rFonts w:cs="Arial"/>
          <w:szCs w:val="22"/>
          <w:vertAlign w:val="subscript"/>
          <w:lang w:eastAsia="ar-SA"/>
        </w:rPr>
        <w:t>p,CH4,y</w:t>
      </w:r>
      <w:r>
        <w:rPr>
          <w:rFonts w:cs="Arial"/>
          <w:szCs w:val="22"/>
          <w:lang w:eastAsia="ar-SA"/>
        </w:rPr>
        <w:tab/>
        <w:t>Project methane emissions during the year y (tCO</w:t>
      </w:r>
      <w:r>
        <w:rPr>
          <w:rFonts w:cs="Arial"/>
          <w:szCs w:val="22"/>
          <w:vertAlign w:val="subscript"/>
          <w:lang w:eastAsia="ar-SA"/>
        </w:rPr>
        <w:t>2</w:t>
      </w:r>
      <w:r>
        <w:rPr>
          <w:rFonts w:cs="Arial"/>
          <w:szCs w:val="22"/>
          <w:lang w:eastAsia="ar-SA"/>
        </w:rPr>
        <w:t>)</w:t>
      </w:r>
    </w:p>
    <w:p w14:paraId="2260D565" w14:textId="77777777" w:rsidR="009E2C68" w:rsidRDefault="009E2C68" w:rsidP="009E2C68">
      <w:pPr>
        <w:suppressAutoHyphens/>
        <w:ind w:left="1872" w:hanging="1248"/>
        <w:jc w:val="left"/>
        <w:rPr>
          <w:rFonts w:cs="Arial"/>
          <w:szCs w:val="22"/>
          <w:lang w:eastAsia="ar-SA"/>
        </w:rPr>
      </w:pPr>
    </w:p>
    <w:p w14:paraId="77E74567" w14:textId="77777777" w:rsidR="009E2C68" w:rsidRDefault="009E2C68" w:rsidP="009E2C68">
      <w:pPr>
        <w:suppressAutoHyphens/>
        <w:autoSpaceDE w:val="0"/>
        <w:autoSpaceDN w:val="0"/>
        <w:adjustRightInd w:val="0"/>
        <w:ind w:left="1872" w:hanging="1248"/>
        <w:jc w:val="left"/>
        <w:rPr>
          <w:rFonts w:cs="Arial"/>
          <w:szCs w:val="22"/>
          <w:lang w:eastAsia="ar-SA"/>
        </w:rPr>
      </w:pPr>
      <w:r>
        <w:rPr>
          <w:rFonts w:cs="Arial"/>
          <w:szCs w:val="22"/>
          <w:lang w:eastAsia="ar-SA"/>
        </w:rPr>
        <w:t>N</w:t>
      </w:r>
      <w:r>
        <w:rPr>
          <w:rFonts w:cs="Arial"/>
          <w:szCs w:val="22"/>
          <w:vertAlign w:val="subscript"/>
          <w:lang w:eastAsia="ar-SA"/>
        </w:rPr>
        <w:t>p,y</w:t>
      </w:r>
      <w:r>
        <w:rPr>
          <w:rFonts w:cs="Arial"/>
          <w:szCs w:val="22"/>
          <w:lang w:eastAsia="ar-SA"/>
        </w:rPr>
        <w:tab/>
        <w:t>Cumulative project operational rate included in the project database for project scenario p against baseline scenario b in year y</w:t>
      </w:r>
    </w:p>
    <w:p w14:paraId="7E5E65B8" w14:textId="77777777" w:rsidR="009E2C68" w:rsidRDefault="009E2C68" w:rsidP="009E2C68">
      <w:pPr>
        <w:suppressAutoHyphens/>
        <w:autoSpaceDE w:val="0"/>
        <w:autoSpaceDN w:val="0"/>
        <w:adjustRightInd w:val="0"/>
        <w:ind w:left="1872" w:hanging="1248"/>
        <w:jc w:val="left"/>
        <w:rPr>
          <w:rFonts w:cs="Arial"/>
          <w:szCs w:val="22"/>
          <w:lang w:eastAsia="ar-SA"/>
        </w:rPr>
      </w:pPr>
    </w:p>
    <w:p w14:paraId="067133DE" w14:textId="77777777" w:rsidR="009E2C68" w:rsidRDefault="009E2C68" w:rsidP="009E2C68">
      <w:pPr>
        <w:suppressAutoHyphens/>
        <w:ind w:left="1872" w:hanging="1248"/>
        <w:jc w:val="left"/>
        <w:rPr>
          <w:rFonts w:cs="Arial"/>
          <w:szCs w:val="22"/>
          <w:lang w:eastAsia="ar-SA"/>
        </w:rPr>
      </w:pPr>
      <w:r>
        <w:rPr>
          <w:rFonts w:cs="Arial"/>
          <w:szCs w:val="22"/>
          <w:lang w:eastAsia="ar-SA"/>
        </w:rPr>
        <w:t>U</w:t>
      </w:r>
      <w:r>
        <w:rPr>
          <w:rFonts w:cs="Arial"/>
          <w:szCs w:val="22"/>
          <w:vertAlign w:val="subscript"/>
          <w:lang w:eastAsia="ar-SA"/>
        </w:rPr>
        <w:t xml:space="preserve">p,y </w:t>
      </w:r>
      <w:r>
        <w:rPr>
          <w:rFonts w:cs="Arial"/>
          <w:szCs w:val="22"/>
          <w:lang w:eastAsia="ar-SA"/>
        </w:rPr>
        <w:tab/>
        <w:t>Cumulative usage rate for technologies in project scenario p in year y, based on cumulative adoption rate and drop off rate (fraction)</w:t>
      </w:r>
    </w:p>
    <w:p w14:paraId="3FDF6E0A" w14:textId="77777777" w:rsidR="009E2C68" w:rsidRDefault="009E2C68" w:rsidP="009E2C68">
      <w:pPr>
        <w:rPr>
          <w:rFonts w:cs="Arial"/>
        </w:rPr>
      </w:pPr>
    </w:p>
    <w:p w14:paraId="798D5DC8" w14:textId="77777777" w:rsidR="00074D1F" w:rsidRDefault="009E2C68" w:rsidP="009E2C68">
      <w:pPr>
        <w:rPr>
          <w:rFonts w:cs="Arial"/>
        </w:rPr>
      </w:pPr>
      <w:r>
        <w:rPr>
          <w:rFonts w:cs="Arial"/>
        </w:rPr>
        <w:lastRenderedPageBreak/>
        <w:t>The emission reductions from methane avoidance per household per year</w:t>
      </w:r>
      <w:r>
        <w:rPr>
          <w:rFonts w:cs="Arial"/>
          <w:i/>
        </w:rPr>
        <w:t xml:space="preserve"> </w:t>
      </w:r>
      <w:r>
        <w:rPr>
          <w:rFonts w:cs="Arial"/>
        </w:rPr>
        <w:t>under the VPA006 are</w:t>
      </w:r>
      <w:r w:rsidR="00074D1F">
        <w:rPr>
          <w:rFonts w:cs="Arial"/>
        </w:rPr>
        <w:t xml:space="preserve"> 0.01 tCO</w:t>
      </w:r>
      <w:r w:rsidR="00074D1F" w:rsidRPr="00074D1F">
        <w:rPr>
          <w:rFonts w:cs="Arial"/>
          <w:vertAlign w:val="subscript"/>
        </w:rPr>
        <w:t>2</w:t>
      </w:r>
      <w:r w:rsidR="00074D1F">
        <w:rPr>
          <w:rFonts w:cs="Arial"/>
        </w:rPr>
        <w:t>e/year.</w:t>
      </w:r>
      <w:r>
        <w:rPr>
          <w:rFonts w:cs="Arial"/>
          <w:vertAlign w:val="superscript"/>
        </w:rPr>
        <w:footnoteReference w:id="29"/>
      </w:r>
    </w:p>
    <w:p w14:paraId="3F53ADEE" w14:textId="77777777" w:rsidR="009E2C68" w:rsidRPr="00EA1096" w:rsidRDefault="009E2C68" w:rsidP="003E0E9E">
      <w:pPr>
        <w:rPr>
          <w:rFonts w:cs="Arial"/>
          <w:highlight w:val="yellow"/>
        </w:rPr>
      </w:pPr>
    </w:p>
    <w:p w14:paraId="08444913" w14:textId="77777777" w:rsidR="003E0E9E" w:rsidRDefault="003E0E9E" w:rsidP="00991A48">
      <w:pPr>
        <w:rPr>
          <w:rFonts w:cs="Arial"/>
          <w:lang w:eastAsia="en-US"/>
        </w:rPr>
      </w:pPr>
    </w:p>
    <w:p w14:paraId="3EB40790" w14:textId="77777777" w:rsidR="003E0E9E" w:rsidRDefault="001F645D" w:rsidP="003E0E9E">
      <w:pPr>
        <w:rPr>
          <w:rFonts w:cs="Arial"/>
          <w:i/>
          <w:lang w:val="en-US"/>
        </w:rPr>
      </w:pPr>
      <w:r>
        <w:rPr>
          <w:rFonts w:cs="Arial"/>
          <w:i/>
          <w:lang w:val="en-US"/>
        </w:rPr>
        <w:t xml:space="preserve">6.4.3.3 </w:t>
      </w:r>
      <w:r w:rsidR="003E0E9E">
        <w:rPr>
          <w:rFonts w:cs="Arial"/>
          <w:i/>
          <w:lang w:val="en-US"/>
        </w:rPr>
        <w:t>Leakage emissions</w:t>
      </w:r>
    </w:p>
    <w:p w14:paraId="1B92F8DB" w14:textId="77777777" w:rsidR="003E0E9E" w:rsidRDefault="003E0E9E" w:rsidP="003E0E9E">
      <w:pPr>
        <w:rPr>
          <w:rFonts w:cs="Arial"/>
          <w:lang w:bidi="en-US"/>
        </w:rPr>
      </w:pPr>
    </w:p>
    <w:p w14:paraId="70619F5B" w14:textId="77777777" w:rsidR="003E0E9E" w:rsidRDefault="003E0E9E" w:rsidP="003E0E9E">
      <w:pPr>
        <w:rPr>
          <w:rFonts w:cs="Arial"/>
          <w:lang w:val="en-US"/>
        </w:rPr>
      </w:pPr>
      <w:r>
        <w:rPr>
          <w:rFonts w:cs="Arial"/>
          <w:lang w:val="en-US"/>
        </w:rPr>
        <w:t>The project proponent investigated the following potential sources of leakage:</w:t>
      </w:r>
    </w:p>
    <w:p w14:paraId="6C2B4FEE" w14:textId="77777777" w:rsidR="003E0E9E" w:rsidRDefault="00B53A36" w:rsidP="00CB783F">
      <w:pPr>
        <w:pStyle w:val="Caption"/>
        <w:ind w:hanging="1956"/>
        <w:rPr>
          <w:rFonts w:cs="Arial"/>
          <w:i/>
          <w:iCs/>
        </w:rPr>
      </w:pPr>
      <w:r>
        <w:t xml:space="preserve">Table </w:t>
      </w:r>
      <w:r w:rsidR="00386F9E">
        <w:fldChar w:fldCharType="begin"/>
      </w:r>
      <w:r>
        <w:instrText xml:space="preserve"> SEQ Table \* ARABIC </w:instrText>
      </w:r>
      <w:r w:rsidR="00386F9E">
        <w:fldChar w:fldCharType="separate"/>
      </w:r>
      <w:r w:rsidR="00FE38F8">
        <w:rPr>
          <w:noProof/>
        </w:rPr>
        <w:t>10</w:t>
      </w:r>
      <w:r w:rsidR="00386F9E">
        <w:fldChar w:fldCharType="end"/>
      </w:r>
      <w:r>
        <w:t xml:space="preserve"> </w:t>
      </w:r>
      <w:r w:rsidR="003E0E9E" w:rsidRPr="00CB783F">
        <w:rPr>
          <w:rFonts w:cs="Arial"/>
          <w:b w:val="0"/>
          <w:i/>
          <w:iCs/>
        </w:rPr>
        <w:t>Leakage emission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4365"/>
      </w:tblGrid>
      <w:tr w:rsidR="003E0E9E" w14:paraId="521FC687" w14:textId="77777777" w:rsidTr="003E0E9E">
        <w:tc>
          <w:tcPr>
            <w:tcW w:w="534" w:type="dxa"/>
            <w:tcBorders>
              <w:top w:val="single" w:sz="4" w:space="0" w:color="auto"/>
              <w:left w:val="single" w:sz="4" w:space="0" w:color="auto"/>
              <w:bottom w:val="single" w:sz="4" w:space="0" w:color="auto"/>
              <w:right w:val="single" w:sz="4" w:space="0" w:color="auto"/>
            </w:tcBorders>
            <w:shd w:val="clear" w:color="auto" w:fill="D9D9D9"/>
            <w:hideMark/>
          </w:tcPr>
          <w:p w14:paraId="54A650A0" w14:textId="77777777" w:rsidR="003E0E9E" w:rsidRDefault="003E0E9E">
            <w:pPr>
              <w:rPr>
                <w:rFonts w:cs="Arial"/>
                <w:b/>
                <w:lang w:val="en-US"/>
              </w:rPr>
            </w:pPr>
            <w:r>
              <w:rPr>
                <w:rFonts w:cs="Arial"/>
                <w:b/>
                <w:lang w:val="en-US"/>
              </w:rPr>
              <w:t>#</w:t>
            </w:r>
          </w:p>
        </w:tc>
        <w:tc>
          <w:tcPr>
            <w:tcW w:w="4677" w:type="dxa"/>
            <w:tcBorders>
              <w:top w:val="single" w:sz="4" w:space="0" w:color="auto"/>
              <w:left w:val="single" w:sz="4" w:space="0" w:color="auto"/>
              <w:bottom w:val="single" w:sz="4" w:space="0" w:color="auto"/>
              <w:right w:val="single" w:sz="4" w:space="0" w:color="auto"/>
            </w:tcBorders>
            <w:shd w:val="clear" w:color="auto" w:fill="D9D9D9"/>
            <w:hideMark/>
          </w:tcPr>
          <w:p w14:paraId="0B6FEB03" w14:textId="77777777" w:rsidR="003E0E9E" w:rsidRDefault="003E0E9E">
            <w:pPr>
              <w:rPr>
                <w:rFonts w:cs="Arial"/>
                <w:b/>
                <w:lang w:val="en-US"/>
              </w:rPr>
            </w:pPr>
            <w:r>
              <w:rPr>
                <w:rFonts w:cs="Arial"/>
                <w:b/>
                <w:lang w:val="en-US"/>
              </w:rPr>
              <w:t>Leakage source</w:t>
            </w:r>
          </w:p>
        </w:tc>
        <w:tc>
          <w:tcPr>
            <w:tcW w:w="4365" w:type="dxa"/>
            <w:tcBorders>
              <w:top w:val="single" w:sz="4" w:space="0" w:color="auto"/>
              <w:left w:val="single" w:sz="4" w:space="0" w:color="auto"/>
              <w:bottom w:val="single" w:sz="4" w:space="0" w:color="auto"/>
              <w:right w:val="single" w:sz="4" w:space="0" w:color="auto"/>
            </w:tcBorders>
            <w:shd w:val="clear" w:color="auto" w:fill="D9D9D9"/>
            <w:hideMark/>
          </w:tcPr>
          <w:p w14:paraId="5F97803E" w14:textId="77777777" w:rsidR="003E0E9E" w:rsidRDefault="003E0E9E">
            <w:pPr>
              <w:rPr>
                <w:rFonts w:cs="Arial"/>
                <w:b/>
                <w:lang w:val="en-US"/>
              </w:rPr>
            </w:pPr>
            <w:r>
              <w:rPr>
                <w:rFonts w:cs="Arial"/>
                <w:b/>
                <w:lang w:val="en-US"/>
              </w:rPr>
              <w:t>Applicability</w:t>
            </w:r>
          </w:p>
        </w:tc>
      </w:tr>
      <w:tr w:rsidR="003E0E9E" w14:paraId="27EA89E3" w14:textId="77777777" w:rsidTr="003E0E9E">
        <w:tc>
          <w:tcPr>
            <w:tcW w:w="534" w:type="dxa"/>
            <w:tcBorders>
              <w:top w:val="single" w:sz="4" w:space="0" w:color="auto"/>
              <w:left w:val="single" w:sz="4" w:space="0" w:color="auto"/>
              <w:bottom w:val="single" w:sz="4" w:space="0" w:color="auto"/>
              <w:right w:val="single" w:sz="4" w:space="0" w:color="auto"/>
            </w:tcBorders>
            <w:hideMark/>
          </w:tcPr>
          <w:p w14:paraId="28101A7C" w14:textId="77777777" w:rsidR="003E0E9E" w:rsidRDefault="003E0E9E">
            <w:pPr>
              <w:rPr>
                <w:rFonts w:cs="Arial"/>
                <w:b/>
                <w:lang w:val="en-US"/>
              </w:rPr>
            </w:pPr>
            <w:r>
              <w:rPr>
                <w:rFonts w:cs="Arial"/>
                <w:b/>
                <w:lang w:val="en-US"/>
              </w:rPr>
              <w:t>a</w:t>
            </w:r>
          </w:p>
        </w:tc>
        <w:tc>
          <w:tcPr>
            <w:tcW w:w="4677" w:type="dxa"/>
            <w:tcBorders>
              <w:top w:val="single" w:sz="4" w:space="0" w:color="auto"/>
              <w:left w:val="single" w:sz="4" w:space="0" w:color="auto"/>
              <w:bottom w:val="single" w:sz="4" w:space="0" w:color="auto"/>
              <w:right w:val="single" w:sz="4" w:space="0" w:color="auto"/>
            </w:tcBorders>
            <w:hideMark/>
          </w:tcPr>
          <w:p w14:paraId="0CD4E10A" w14:textId="77777777" w:rsidR="003E0E9E" w:rsidRDefault="003E0E9E">
            <w:pPr>
              <w:rPr>
                <w:rFonts w:cs="Arial"/>
                <w:lang w:val="en-US"/>
              </w:rPr>
            </w:pPr>
            <w:r>
              <w:rPr>
                <w:rFonts w:cs="Arial"/>
                <w:lang w:val="en-US"/>
              </w:rPr>
              <w:t>The displaced baseline technologies are reused outside the project boundary in place of lower emitting technology or in a manner suggesting more usage than would have occurred in the absence of the project.</w:t>
            </w:r>
          </w:p>
        </w:tc>
        <w:tc>
          <w:tcPr>
            <w:tcW w:w="4365" w:type="dxa"/>
            <w:tcBorders>
              <w:top w:val="single" w:sz="4" w:space="0" w:color="auto"/>
              <w:left w:val="single" w:sz="4" w:space="0" w:color="auto"/>
              <w:bottom w:val="single" w:sz="4" w:space="0" w:color="auto"/>
              <w:right w:val="single" w:sz="4" w:space="0" w:color="auto"/>
            </w:tcBorders>
            <w:hideMark/>
          </w:tcPr>
          <w:p w14:paraId="5DC9F5E0" w14:textId="77777777" w:rsidR="003E0E9E" w:rsidRDefault="003E0E9E" w:rsidP="006A3B18">
            <w:pPr>
              <w:rPr>
                <w:rFonts w:cs="Arial"/>
                <w:lang w:val="en-US"/>
              </w:rPr>
            </w:pPr>
            <w:r>
              <w:rPr>
                <w:rFonts w:cs="Arial"/>
                <w:lang w:val="en-US"/>
              </w:rPr>
              <w:t xml:space="preserve">The baseline technologies are not reused outside the project boundary. </w:t>
            </w:r>
            <w:r w:rsidR="006A3B18">
              <w:rPr>
                <w:rFonts w:cs="Arial"/>
                <w:lang w:val="en-US"/>
              </w:rPr>
              <w:t>The baseline technologies include three-stone fires and basic, inefficient cookstoves.</w:t>
            </w:r>
            <w:r w:rsidR="003D4866">
              <w:rPr>
                <w:rStyle w:val="FootnoteReference"/>
                <w:rFonts w:cs="Arial"/>
                <w:lang w:val="en-US"/>
              </w:rPr>
              <w:footnoteReference w:id="30"/>
            </w:r>
            <w:r w:rsidR="006A3B18">
              <w:rPr>
                <w:rFonts w:cs="Arial"/>
                <w:lang w:val="en-US"/>
              </w:rPr>
              <w:t xml:space="preserve"> </w:t>
            </w:r>
          </w:p>
        </w:tc>
      </w:tr>
      <w:tr w:rsidR="003E0E9E" w14:paraId="1370CE99" w14:textId="77777777" w:rsidTr="003E0E9E">
        <w:tc>
          <w:tcPr>
            <w:tcW w:w="534" w:type="dxa"/>
            <w:tcBorders>
              <w:top w:val="single" w:sz="4" w:space="0" w:color="auto"/>
              <w:left w:val="single" w:sz="4" w:space="0" w:color="auto"/>
              <w:bottom w:val="single" w:sz="4" w:space="0" w:color="auto"/>
              <w:right w:val="single" w:sz="4" w:space="0" w:color="auto"/>
            </w:tcBorders>
            <w:hideMark/>
          </w:tcPr>
          <w:p w14:paraId="6BB89870" w14:textId="77777777" w:rsidR="003E0E9E" w:rsidRDefault="003E0E9E">
            <w:pPr>
              <w:rPr>
                <w:rFonts w:cs="Arial"/>
                <w:b/>
                <w:lang w:val="en-US"/>
              </w:rPr>
            </w:pPr>
            <w:r>
              <w:rPr>
                <w:rFonts w:cs="Arial"/>
                <w:b/>
                <w:lang w:val="en-US"/>
              </w:rPr>
              <w:t>b</w:t>
            </w:r>
          </w:p>
        </w:tc>
        <w:tc>
          <w:tcPr>
            <w:tcW w:w="4677" w:type="dxa"/>
            <w:tcBorders>
              <w:top w:val="single" w:sz="4" w:space="0" w:color="auto"/>
              <w:left w:val="single" w:sz="4" w:space="0" w:color="auto"/>
              <w:bottom w:val="single" w:sz="4" w:space="0" w:color="auto"/>
              <w:right w:val="single" w:sz="4" w:space="0" w:color="auto"/>
            </w:tcBorders>
            <w:hideMark/>
          </w:tcPr>
          <w:p w14:paraId="23BCEBC3" w14:textId="77777777" w:rsidR="003E0E9E" w:rsidRDefault="003E0E9E">
            <w:pPr>
              <w:rPr>
                <w:rFonts w:cs="Arial"/>
                <w:lang w:val="en-US"/>
              </w:rPr>
            </w:pPr>
            <w:r>
              <w:rPr>
                <w:rFonts w:cs="Arial"/>
                <w:lang w:val="en-US"/>
              </w:rPr>
              <w:t>The non-renewable biomass or fossil fuels saved under the project activity are used by non-project users who previously used lower emitting energy sources.</w:t>
            </w:r>
          </w:p>
        </w:tc>
        <w:tc>
          <w:tcPr>
            <w:tcW w:w="4365" w:type="dxa"/>
            <w:tcBorders>
              <w:top w:val="single" w:sz="4" w:space="0" w:color="auto"/>
              <w:left w:val="single" w:sz="4" w:space="0" w:color="auto"/>
              <w:bottom w:val="single" w:sz="4" w:space="0" w:color="auto"/>
              <w:right w:val="single" w:sz="4" w:space="0" w:color="auto"/>
            </w:tcBorders>
            <w:hideMark/>
          </w:tcPr>
          <w:p w14:paraId="21AD610C" w14:textId="77777777" w:rsidR="003E0E9E" w:rsidRDefault="003E0E9E">
            <w:pPr>
              <w:rPr>
                <w:rFonts w:cs="Arial"/>
                <w:lang w:val="en-US"/>
              </w:rPr>
            </w:pPr>
            <w:r>
              <w:rPr>
                <w:rFonts w:cs="Arial"/>
                <w:lang w:val="en-US"/>
              </w:rPr>
              <w:t xml:space="preserve">Most household rely on wood and charcoal in Kenya. The small share of household that use a lower emitting energy source, such as LPG, will not switch back to NRB due to the project activity. </w:t>
            </w:r>
          </w:p>
        </w:tc>
      </w:tr>
      <w:tr w:rsidR="003E0E9E" w14:paraId="13FFF5F0" w14:textId="77777777" w:rsidTr="003E0E9E">
        <w:tc>
          <w:tcPr>
            <w:tcW w:w="534" w:type="dxa"/>
            <w:tcBorders>
              <w:top w:val="single" w:sz="4" w:space="0" w:color="auto"/>
              <w:left w:val="single" w:sz="4" w:space="0" w:color="auto"/>
              <w:bottom w:val="single" w:sz="4" w:space="0" w:color="auto"/>
              <w:right w:val="single" w:sz="4" w:space="0" w:color="auto"/>
            </w:tcBorders>
            <w:hideMark/>
          </w:tcPr>
          <w:p w14:paraId="69B270C3" w14:textId="77777777" w:rsidR="003E0E9E" w:rsidRDefault="003E0E9E">
            <w:pPr>
              <w:rPr>
                <w:rFonts w:cs="Arial"/>
                <w:b/>
                <w:lang w:val="en-US"/>
              </w:rPr>
            </w:pPr>
            <w:r>
              <w:rPr>
                <w:rFonts w:cs="Arial"/>
                <w:b/>
                <w:lang w:val="en-US"/>
              </w:rPr>
              <w:t>c</w:t>
            </w:r>
          </w:p>
        </w:tc>
        <w:tc>
          <w:tcPr>
            <w:tcW w:w="4677" w:type="dxa"/>
            <w:tcBorders>
              <w:top w:val="single" w:sz="4" w:space="0" w:color="auto"/>
              <w:left w:val="single" w:sz="4" w:space="0" w:color="auto"/>
              <w:bottom w:val="single" w:sz="4" w:space="0" w:color="auto"/>
              <w:right w:val="single" w:sz="4" w:space="0" w:color="auto"/>
            </w:tcBorders>
            <w:hideMark/>
          </w:tcPr>
          <w:p w14:paraId="7D9CD6FB" w14:textId="77777777" w:rsidR="003E0E9E" w:rsidRDefault="003E0E9E">
            <w:pPr>
              <w:rPr>
                <w:rFonts w:cs="Arial"/>
                <w:lang w:val="en-US"/>
              </w:rPr>
            </w:pPr>
            <w:r>
              <w:rPr>
                <w:rFonts w:cs="Arial"/>
                <w:lang w:val="en-US"/>
              </w:rPr>
              <w:t>The project significantly impacts the NRB fraction within an area where other CDM or VER project activities account for NRB fraction in their baseline scenario.</w:t>
            </w:r>
          </w:p>
        </w:tc>
        <w:tc>
          <w:tcPr>
            <w:tcW w:w="4365" w:type="dxa"/>
            <w:tcBorders>
              <w:top w:val="single" w:sz="4" w:space="0" w:color="auto"/>
              <w:left w:val="single" w:sz="4" w:space="0" w:color="auto"/>
              <w:bottom w:val="single" w:sz="4" w:space="0" w:color="auto"/>
              <w:right w:val="single" w:sz="4" w:space="0" w:color="auto"/>
            </w:tcBorders>
            <w:hideMark/>
          </w:tcPr>
          <w:p w14:paraId="04F05BD7" w14:textId="77777777" w:rsidR="003E0E9E" w:rsidRDefault="006A3B18">
            <w:pPr>
              <w:rPr>
                <w:rFonts w:cs="Arial"/>
                <w:lang w:val="en-US"/>
              </w:rPr>
            </w:pPr>
            <w:r>
              <w:rPr>
                <w:rFonts w:cs="Arial"/>
                <w:lang w:val="en-US"/>
              </w:rPr>
              <w:t>The project is not large enough to significantly impact the NRB component of another CDM or VER project</w:t>
            </w:r>
            <w:r w:rsidR="003E0E9E">
              <w:rPr>
                <w:rFonts w:cs="Arial"/>
                <w:lang w:val="en-US"/>
              </w:rPr>
              <w:t>. It is therefore not likely that the NRB fraction is impacted significantly.</w:t>
            </w:r>
          </w:p>
        </w:tc>
      </w:tr>
      <w:tr w:rsidR="003E0E9E" w14:paraId="6C4DAC76" w14:textId="77777777" w:rsidTr="003E0E9E">
        <w:tc>
          <w:tcPr>
            <w:tcW w:w="534" w:type="dxa"/>
            <w:tcBorders>
              <w:top w:val="single" w:sz="4" w:space="0" w:color="auto"/>
              <w:left w:val="single" w:sz="4" w:space="0" w:color="auto"/>
              <w:bottom w:val="single" w:sz="4" w:space="0" w:color="auto"/>
              <w:right w:val="single" w:sz="4" w:space="0" w:color="auto"/>
            </w:tcBorders>
            <w:hideMark/>
          </w:tcPr>
          <w:p w14:paraId="5D8ABFD1" w14:textId="77777777" w:rsidR="003E0E9E" w:rsidRDefault="003E0E9E">
            <w:pPr>
              <w:rPr>
                <w:rFonts w:cs="Arial"/>
                <w:b/>
                <w:lang w:val="en-US"/>
              </w:rPr>
            </w:pPr>
            <w:r>
              <w:rPr>
                <w:rFonts w:cs="Arial"/>
                <w:b/>
                <w:lang w:val="en-US"/>
              </w:rPr>
              <w:t>d</w:t>
            </w:r>
          </w:p>
        </w:tc>
        <w:tc>
          <w:tcPr>
            <w:tcW w:w="4677" w:type="dxa"/>
            <w:tcBorders>
              <w:top w:val="single" w:sz="4" w:space="0" w:color="auto"/>
              <w:left w:val="single" w:sz="4" w:space="0" w:color="auto"/>
              <w:bottom w:val="single" w:sz="4" w:space="0" w:color="auto"/>
              <w:right w:val="single" w:sz="4" w:space="0" w:color="auto"/>
            </w:tcBorders>
            <w:hideMark/>
          </w:tcPr>
          <w:p w14:paraId="2EEDA7A4" w14:textId="77777777" w:rsidR="003E0E9E" w:rsidRDefault="003E0E9E">
            <w:pPr>
              <w:rPr>
                <w:rFonts w:cs="Arial"/>
                <w:lang w:val="en-US"/>
              </w:rPr>
            </w:pPr>
            <w:r>
              <w:rPr>
                <w:rFonts w:cs="Arial"/>
                <w:lang w:val="en-US"/>
              </w:rPr>
              <w:t>The project population compensates for loss of the space heating effect of inefficient technology by adopting some other form of heating or by retaining some use of inefficient technology</w:t>
            </w:r>
          </w:p>
        </w:tc>
        <w:tc>
          <w:tcPr>
            <w:tcW w:w="4365" w:type="dxa"/>
            <w:tcBorders>
              <w:top w:val="single" w:sz="4" w:space="0" w:color="auto"/>
              <w:left w:val="single" w:sz="4" w:space="0" w:color="auto"/>
              <w:bottom w:val="single" w:sz="4" w:space="0" w:color="auto"/>
              <w:right w:val="single" w:sz="4" w:space="0" w:color="auto"/>
            </w:tcBorders>
            <w:hideMark/>
          </w:tcPr>
          <w:p w14:paraId="6E451BF0" w14:textId="77777777" w:rsidR="003E0E9E" w:rsidRDefault="003E0E9E">
            <w:pPr>
              <w:rPr>
                <w:rFonts w:cs="Arial"/>
                <w:lang w:val="en-US"/>
              </w:rPr>
            </w:pPr>
            <w:r>
              <w:rPr>
                <w:rFonts w:cs="Arial"/>
                <w:lang w:val="en-US"/>
              </w:rPr>
              <w:t>Space heating does not occur in Kenya.</w:t>
            </w:r>
          </w:p>
        </w:tc>
      </w:tr>
      <w:tr w:rsidR="003E0E9E" w14:paraId="315806A2" w14:textId="77777777" w:rsidTr="003E0E9E">
        <w:tc>
          <w:tcPr>
            <w:tcW w:w="534" w:type="dxa"/>
            <w:tcBorders>
              <w:top w:val="single" w:sz="4" w:space="0" w:color="auto"/>
              <w:left w:val="single" w:sz="4" w:space="0" w:color="auto"/>
              <w:bottom w:val="single" w:sz="4" w:space="0" w:color="auto"/>
              <w:right w:val="single" w:sz="4" w:space="0" w:color="auto"/>
            </w:tcBorders>
            <w:hideMark/>
          </w:tcPr>
          <w:p w14:paraId="7ADE28D2" w14:textId="77777777" w:rsidR="003E0E9E" w:rsidRDefault="003E0E9E">
            <w:pPr>
              <w:rPr>
                <w:rFonts w:cs="Arial"/>
                <w:b/>
                <w:lang w:val="en-US"/>
              </w:rPr>
            </w:pPr>
            <w:r>
              <w:rPr>
                <w:rFonts w:cs="Arial"/>
                <w:b/>
                <w:lang w:val="en-US"/>
              </w:rPr>
              <w:t>e</w:t>
            </w:r>
          </w:p>
        </w:tc>
        <w:tc>
          <w:tcPr>
            <w:tcW w:w="4677" w:type="dxa"/>
            <w:tcBorders>
              <w:top w:val="single" w:sz="4" w:space="0" w:color="auto"/>
              <w:left w:val="single" w:sz="4" w:space="0" w:color="auto"/>
              <w:bottom w:val="single" w:sz="4" w:space="0" w:color="auto"/>
              <w:right w:val="single" w:sz="4" w:space="0" w:color="auto"/>
            </w:tcBorders>
            <w:hideMark/>
          </w:tcPr>
          <w:p w14:paraId="37D0E72B" w14:textId="77777777" w:rsidR="003E0E9E" w:rsidRDefault="003E0E9E">
            <w:pPr>
              <w:rPr>
                <w:rFonts w:cs="Arial"/>
                <w:lang w:val="en-US"/>
              </w:rPr>
            </w:pPr>
            <w:r>
              <w:rPr>
                <w:rFonts w:cs="Arial"/>
                <w:lang w:val="en-US"/>
              </w:rPr>
              <w:t>By virtue of promotion and marketing of a new technology with high efficiency, the project stimulates substitution within households who commonly used a technology with relatively lower emissions, in cases where such a trend is not eligible as an evolving baseline.</w:t>
            </w:r>
          </w:p>
        </w:tc>
        <w:tc>
          <w:tcPr>
            <w:tcW w:w="4365" w:type="dxa"/>
            <w:tcBorders>
              <w:top w:val="single" w:sz="4" w:space="0" w:color="auto"/>
              <w:left w:val="single" w:sz="4" w:space="0" w:color="auto"/>
              <w:bottom w:val="single" w:sz="4" w:space="0" w:color="auto"/>
              <w:right w:val="single" w:sz="4" w:space="0" w:color="auto"/>
            </w:tcBorders>
            <w:hideMark/>
          </w:tcPr>
          <w:p w14:paraId="64411F3B" w14:textId="77777777" w:rsidR="003E0E9E" w:rsidRDefault="003E0E9E">
            <w:pPr>
              <w:rPr>
                <w:rFonts w:cs="Arial"/>
                <w:lang w:val="en-US"/>
              </w:rPr>
            </w:pPr>
            <w:r>
              <w:rPr>
                <w:rFonts w:cs="Arial"/>
                <w:lang w:val="en-US"/>
              </w:rPr>
              <w:t>The baseline is not fixed in this project, and the combustion of biogas always leads to lower emissions compared to all baseline fuels as it is 100% renewable.</w:t>
            </w:r>
          </w:p>
        </w:tc>
      </w:tr>
      <w:tr w:rsidR="003E0E9E" w14:paraId="60190340" w14:textId="77777777" w:rsidTr="003E0E9E">
        <w:tc>
          <w:tcPr>
            <w:tcW w:w="534" w:type="dxa"/>
            <w:tcBorders>
              <w:top w:val="single" w:sz="4" w:space="0" w:color="auto"/>
              <w:left w:val="single" w:sz="4" w:space="0" w:color="auto"/>
              <w:bottom w:val="single" w:sz="4" w:space="0" w:color="auto"/>
              <w:right w:val="single" w:sz="4" w:space="0" w:color="auto"/>
            </w:tcBorders>
            <w:hideMark/>
          </w:tcPr>
          <w:p w14:paraId="1903336B" w14:textId="77777777" w:rsidR="003E0E9E" w:rsidRDefault="003E0E9E">
            <w:pPr>
              <w:rPr>
                <w:rFonts w:cs="Arial"/>
                <w:b/>
                <w:lang w:val="en-US"/>
              </w:rPr>
            </w:pPr>
            <w:r>
              <w:rPr>
                <w:rFonts w:cs="Arial"/>
                <w:b/>
                <w:lang w:val="en-US"/>
              </w:rPr>
              <w:t>F</w:t>
            </w:r>
          </w:p>
        </w:tc>
        <w:tc>
          <w:tcPr>
            <w:tcW w:w="4677" w:type="dxa"/>
            <w:tcBorders>
              <w:top w:val="single" w:sz="4" w:space="0" w:color="auto"/>
              <w:left w:val="single" w:sz="4" w:space="0" w:color="auto"/>
              <w:bottom w:val="single" w:sz="4" w:space="0" w:color="auto"/>
              <w:right w:val="single" w:sz="4" w:space="0" w:color="auto"/>
            </w:tcBorders>
            <w:hideMark/>
          </w:tcPr>
          <w:p w14:paraId="2AD85D0D" w14:textId="77777777" w:rsidR="003E0E9E" w:rsidRDefault="003E0E9E">
            <w:pPr>
              <w:rPr>
                <w:rFonts w:cs="Arial"/>
                <w:lang w:val="en-US"/>
              </w:rPr>
            </w:pPr>
            <w:r>
              <w:rPr>
                <w:rFonts w:cs="Arial"/>
                <w:lang w:val="en-US"/>
              </w:rPr>
              <w:t>Physical leakage emissions</w:t>
            </w:r>
          </w:p>
        </w:tc>
        <w:tc>
          <w:tcPr>
            <w:tcW w:w="4365" w:type="dxa"/>
            <w:tcBorders>
              <w:top w:val="single" w:sz="4" w:space="0" w:color="auto"/>
              <w:left w:val="single" w:sz="4" w:space="0" w:color="auto"/>
              <w:bottom w:val="single" w:sz="4" w:space="0" w:color="auto"/>
              <w:right w:val="single" w:sz="4" w:space="0" w:color="auto"/>
            </w:tcBorders>
            <w:hideMark/>
          </w:tcPr>
          <w:p w14:paraId="497672A5" w14:textId="77777777" w:rsidR="003E0E9E" w:rsidRDefault="003E0E9E">
            <w:pPr>
              <w:rPr>
                <w:rFonts w:cs="Arial"/>
                <w:lang w:val="en-US"/>
              </w:rPr>
            </w:pPr>
            <w:r>
              <w:rPr>
                <w:rFonts w:cs="Arial"/>
                <w:lang w:val="en-US"/>
              </w:rPr>
              <w:t xml:space="preserve">It is considered as project </w:t>
            </w:r>
            <w:r w:rsidRPr="003F461E">
              <w:rPr>
                <w:rFonts w:cs="Arial"/>
                <w:lang w:val="en-US"/>
              </w:rPr>
              <w:t xml:space="preserve">emissions - see </w:t>
            </w:r>
            <w:r w:rsidR="003F461E">
              <w:rPr>
                <w:rFonts w:cs="Arial"/>
                <w:lang w:val="en-US"/>
              </w:rPr>
              <w:t>ER spreadsheet</w:t>
            </w:r>
          </w:p>
        </w:tc>
      </w:tr>
      <w:tr w:rsidR="003E0E9E" w14:paraId="63B460FD" w14:textId="77777777" w:rsidTr="003E0E9E">
        <w:tc>
          <w:tcPr>
            <w:tcW w:w="534" w:type="dxa"/>
            <w:tcBorders>
              <w:top w:val="single" w:sz="4" w:space="0" w:color="auto"/>
              <w:left w:val="single" w:sz="4" w:space="0" w:color="auto"/>
              <w:bottom w:val="single" w:sz="4" w:space="0" w:color="auto"/>
              <w:right w:val="single" w:sz="4" w:space="0" w:color="auto"/>
            </w:tcBorders>
            <w:hideMark/>
          </w:tcPr>
          <w:p w14:paraId="3A9E89E3" w14:textId="77777777" w:rsidR="003E0E9E" w:rsidRDefault="003E0E9E">
            <w:pPr>
              <w:rPr>
                <w:rFonts w:cs="Arial"/>
                <w:b/>
                <w:lang w:val="en-US"/>
              </w:rPr>
            </w:pPr>
            <w:r>
              <w:rPr>
                <w:rFonts w:cs="Arial"/>
                <w:b/>
                <w:lang w:val="en-US"/>
              </w:rPr>
              <w:t>G</w:t>
            </w:r>
          </w:p>
        </w:tc>
        <w:tc>
          <w:tcPr>
            <w:tcW w:w="4677" w:type="dxa"/>
            <w:tcBorders>
              <w:top w:val="single" w:sz="4" w:space="0" w:color="auto"/>
              <w:left w:val="single" w:sz="4" w:space="0" w:color="auto"/>
              <w:bottom w:val="single" w:sz="4" w:space="0" w:color="auto"/>
              <w:right w:val="single" w:sz="4" w:space="0" w:color="auto"/>
            </w:tcBorders>
            <w:hideMark/>
          </w:tcPr>
          <w:p w14:paraId="6F1CA8EC" w14:textId="77777777" w:rsidR="003E0E9E" w:rsidRDefault="003E0E9E">
            <w:pPr>
              <w:rPr>
                <w:rFonts w:cs="Arial"/>
                <w:lang w:val="en-US"/>
              </w:rPr>
            </w:pPr>
            <w:r>
              <w:rPr>
                <w:rFonts w:cs="Arial"/>
                <w:lang w:val="en-US"/>
              </w:rPr>
              <w:t>Emissions from biogas slurry</w:t>
            </w:r>
          </w:p>
        </w:tc>
        <w:tc>
          <w:tcPr>
            <w:tcW w:w="4365" w:type="dxa"/>
            <w:tcBorders>
              <w:top w:val="single" w:sz="4" w:space="0" w:color="auto"/>
              <w:left w:val="single" w:sz="4" w:space="0" w:color="auto"/>
              <w:bottom w:val="single" w:sz="4" w:space="0" w:color="auto"/>
              <w:right w:val="single" w:sz="4" w:space="0" w:color="auto"/>
            </w:tcBorders>
            <w:hideMark/>
          </w:tcPr>
          <w:p w14:paraId="39894F4F" w14:textId="77777777" w:rsidR="003E0E9E" w:rsidRDefault="003E0E9E">
            <w:pPr>
              <w:rPr>
                <w:rFonts w:cs="Arial"/>
                <w:lang w:val="en-US"/>
              </w:rPr>
            </w:pPr>
            <w:r>
              <w:rPr>
                <w:rFonts w:cs="Arial"/>
                <w:lang w:val="en-US"/>
              </w:rPr>
              <w:t>It is considered as project emissions –</w:t>
            </w:r>
            <w:r w:rsidR="003F461E">
              <w:rPr>
                <w:rFonts w:cs="Arial"/>
                <w:lang w:val="en-US"/>
              </w:rPr>
              <w:t xml:space="preserve">see ER spreadsheet </w:t>
            </w:r>
            <w:r>
              <w:rPr>
                <w:rFonts w:cs="Arial"/>
                <w:lang w:val="en-US"/>
              </w:rPr>
              <w:t xml:space="preserve"> </w:t>
            </w:r>
          </w:p>
        </w:tc>
      </w:tr>
    </w:tbl>
    <w:p w14:paraId="19F9BB34" w14:textId="77777777" w:rsidR="003E0E9E" w:rsidRPr="003E0E9E" w:rsidRDefault="003E0E9E" w:rsidP="00991A48">
      <w:pPr>
        <w:rPr>
          <w:rFonts w:cs="Arial"/>
          <w:lang w:val="en-US" w:eastAsia="en-US"/>
        </w:rPr>
      </w:pPr>
    </w:p>
    <w:p w14:paraId="1C8F85F2" w14:textId="77777777" w:rsidR="003E0E9E" w:rsidRPr="000C7CA3" w:rsidRDefault="003E0E9E" w:rsidP="00991A48">
      <w:pPr>
        <w:rPr>
          <w:rFonts w:cs="Arial"/>
          <w:lang w:eastAsia="en-US"/>
        </w:rPr>
      </w:pPr>
    </w:p>
    <w:p w14:paraId="49125667" w14:textId="77777777" w:rsidR="000250D2" w:rsidRDefault="000978C2" w:rsidP="001E0142">
      <w:pPr>
        <w:pStyle w:val="SDMPDDPoASubSection1"/>
        <w:numPr>
          <w:ilvl w:val="2"/>
          <w:numId w:val="30"/>
        </w:numPr>
      </w:pPr>
      <w:r w:rsidRPr="000C7CA3">
        <w:t>Summary of ex</w:t>
      </w:r>
      <w:r w:rsidR="008B2B04">
        <w:t xml:space="preserve"> </w:t>
      </w:r>
      <w:r w:rsidRPr="000C7CA3">
        <w:t>ante estimates of emission reductions</w:t>
      </w:r>
    </w:p>
    <w:p w14:paraId="5F897DD0" w14:textId="77777777" w:rsidR="00C27681" w:rsidRDefault="00C27681" w:rsidP="00C27681">
      <w:pPr>
        <w:rPr>
          <w:rFonts w:cs="Arial"/>
          <w:lang w:val="en-US"/>
        </w:rPr>
      </w:pPr>
    </w:p>
    <w:p w14:paraId="38AC90F2" w14:textId="77777777" w:rsidR="00C27681" w:rsidRPr="00A92C56" w:rsidRDefault="00C27681" w:rsidP="00C27681">
      <w:pPr>
        <w:rPr>
          <w:rFonts w:cs="Arial"/>
          <w:lang w:val="en-US"/>
        </w:rPr>
      </w:pPr>
      <w:r w:rsidRPr="00A92C56">
        <w:rPr>
          <w:rFonts w:cs="Arial"/>
          <w:lang w:val="en-US"/>
        </w:rPr>
        <w:t>The cumulative ex-post emission reductions are calculated with the following calculation</w:t>
      </w:r>
      <w:r>
        <w:rPr>
          <w:rFonts w:cs="Arial"/>
          <w:lang w:val="en-US"/>
        </w:rPr>
        <w:t xml:space="preserve"> in order to take into account the proportional ratio of each identified baseline scenario</w:t>
      </w:r>
      <w:r w:rsidRPr="00A92C56">
        <w:rPr>
          <w:rFonts w:cs="Arial"/>
          <w:lang w:val="en-US"/>
        </w:rPr>
        <w:t>:</w:t>
      </w:r>
    </w:p>
    <w:p w14:paraId="4F415B78" w14:textId="77777777" w:rsidR="00C27681" w:rsidRDefault="008C170F" w:rsidP="00C27681">
      <w:pPr>
        <w:pStyle w:val="SDMPDDPoASubSection1"/>
        <w:rPr>
          <w:noProof/>
        </w:rPr>
      </w:pPr>
      <w:r w:rsidRPr="00D4619B">
        <w:rPr>
          <w:noProof/>
          <w:lang w:val="en-US" w:eastAsia="en-US"/>
        </w:rPr>
        <w:lastRenderedPageBreak/>
        <w:drawing>
          <wp:inline distT="0" distB="0" distL="0" distR="0" wp14:anchorId="304D6E2A" wp14:editId="258811CF">
            <wp:extent cx="5981700" cy="71437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981700" cy="714375"/>
                    </a:xfrm>
                    <a:prstGeom prst="rect">
                      <a:avLst/>
                    </a:prstGeom>
                    <a:noFill/>
                    <a:ln>
                      <a:noFill/>
                    </a:ln>
                  </pic:spPr>
                </pic:pic>
              </a:graphicData>
            </a:graphic>
          </wp:inline>
        </w:drawing>
      </w:r>
    </w:p>
    <w:p w14:paraId="195EF658" w14:textId="77777777" w:rsidR="00C27681" w:rsidRDefault="00C27681" w:rsidP="00C27681">
      <w:pPr>
        <w:pStyle w:val="SDMPDDPoASubSection1"/>
        <w:rPr>
          <w:b w:val="0"/>
          <w:noProof/>
        </w:rPr>
      </w:pPr>
      <w:r w:rsidRPr="00C27681">
        <w:rPr>
          <w:b w:val="0"/>
          <w:noProof/>
        </w:rPr>
        <w:t xml:space="preserve">Where: </w:t>
      </w:r>
    </w:p>
    <w:p w14:paraId="6B1D4916" w14:textId="77777777" w:rsidR="00C27681" w:rsidRPr="00B677B3" w:rsidRDefault="00C27681" w:rsidP="00C27681">
      <w:pPr>
        <w:suppressAutoHyphens/>
        <w:ind w:left="1872" w:hanging="1248"/>
        <w:jc w:val="left"/>
        <w:rPr>
          <w:rFonts w:cs="Arial"/>
          <w:lang w:eastAsia="ar-SA"/>
        </w:rPr>
      </w:pPr>
      <w:r w:rsidRPr="00B677B3">
        <w:rPr>
          <w:rFonts w:cs="Arial"/>
          <w:lang w:eastAsia="ar-SA"/>
        </w:rPr>
        <w:t>ER</w:t>
      </w:r>
      <w:r w:rsidRPr="000C01DD">
        <w:rPr>
          <w:rFonts w:cs="Arial"/>
          <w:vertAlign w:val="subscript"/>
          <w:lang w:eastAsia="ar-SA"/>
        </w:rPr>
        <w:t>b</w:t>
      </w:r>
      <w:r w:rsidRPr="000C01DD">
        <w:rPr>
          <w:rFonts w:cs="Arial"/>
          <w:i/>
          <w:vertAlign w:val="subscript"/>
          <w:lang w:eastAsia="ar-SA"/>
        </w:rPr>
        <w:t>x</w:t>
      </w:r>
      <w:r>
        <w:rPr>
          <w:rFonts w:cs="Arial"/>
          <w:lang w:eastAsia="ar-SA"/>
        </w:rPr>
        <w:t>,</w:t>
      </w:r>
      <w:r w:rsidRPr="00B677B3">
        <w:rPr>
          <w:rFonts w:cs="Arial"/>
          <w:vertAlign w:val="subscript"/>
          <w:lang w:eastAsia="ar-SA"/>
        </w:rPr>
        <w:t>CO2,y</w:t>
      </w:r>
      <w:r w:rsidRPr="00B677B3">
        <w:rPr>
          <w:rFonts w:cs="Arial"/>
          <w:lang w:eastAsia="ar-SA"/>
        </w:rPr>
        <w:tab/>
        <w:t>CO</w:t>
      </w:r>
      <w:r w:rsidRPr="00B677B3">
        <w:rPr>
          <w:rFonts w:cs="Arial"/>
          <w:vertAlign w:val="subscript"/>
          <w:lang w:eastAsia="ar-SA"/>
        </w:rPr>
        <w:t>2</w:t>
      </w:r>
      <w:r w:rsidRPr="00B677B3">
        <w:rPr>
          <w:rFonts w:cs="Arial"/>
          <w:lang w:eastAsia="ar-SA"/>
        </w:rPr>
        <w:t xml:space="preserve"> emissions reductions in year y </w:t>
      </w:r>
      <w:r>
        <w:rPr>
          <w:rFonts w:cs="Arial"/>
          <w:lang w:eastAsia="ar-SA"/>
        </w:rPr>
        <w:t xml:space="preserve">for the respective baseline scenario </w:t>
      </w:r>
      <w:r w:rsidRPr="00B677B3">
        <w:rPr>
          <w:rFonts w:cs="Arial"/>
          <w:lang w:eastAsia="ar-SA"/>
        </w:rPr>
        <w:t>(tCO</w:t>
      </w:r>
      <w:r w:rsidRPr="00B677B3">
        <w:rPr>
          <w:rFonts w:cs="Arial"/>
          <w:vertAlign w:val="subscript"/>
          <w:lang w:eastAsia="ar-SA"/>
        </w:rPr>
        <w:t>2</w:t>
      </w:r>
      <w:r w:rsidRPr="00B677B3">
        <w:rPr>
          <w:rFonts w:cs="Arial"/>
          <w:lang w:eastAsia="ar-SA"/>
        </w:rPr>
        <w:t>)</w:t>
      </w:r>
    </w:p>
    <w:p w14:paraId="5D89B6E5" w14:textId="77777777" w:rsidR="00C27681" w:rsidRPr="00B677B3" w:rsidRDefault="00C27681" w:rsidP="00C27681">
      <w:pPr>
        <w:suppressAutoHyphens/>
        <w:ind w:left="1872" w:hanging="1248"/>
        <w:jc w:val="left"/>
        <w:rPr>
          <w:rFonts w:cs="Arial"/>
          <w:lang w:eastAsia="ar-SA"/>
        </w:rPr>
      </w:pPr>
    </w:p>
    <w:p w14:paraId="073A4A3C" w14:textId="77777777" w:rsidR="00C27681" w:rsidRDefault="00C27681" w:rsidP="00C27681">
      <w:pPr>
        <w:suppressAutoHyphens/>
        <w:ind w:left="1872" w:hanging="1248"/>
        <w:jc w:val="left"/>
        <w:rPr>
          <w:rFonts w:cs="Arial"/>
          <w:lang w:eastAsia="ar-SA"/>
        </w:rPr>
      </w:pPr>
      <w:r w:rsidRPr="00B677B3">
        <w:rPr>
          <w:rFonts w:cs="Arial"/>
          <w:lang w:eastAsia="ar-SA"/>
        </w:rPr>
        <w:t>ER</w:t>
      </w:r>
      <w:r w:rsidRPr="00B677B3">
        <w:rPr>
          <w:rFonts w:cs="Arial"/>
          <w:vertAlign w:val="subscript"/>
          <w:lang w:eastAsia="ar-SA"/>
        </w:rPr>
        <w:t>CH4,y</w:t>
      </w:r>
      <w:r w:rsidRPr="00B677B3">
        <w:rPr>
          <w:rFonts w:cs="Arial"/>
          <w:lang w:eastAsia="ar-SA"/>
        </w:rPr>
        <w:tab/>
        <w:t>Methane emissions reductions in year y (tCO</w:t>
      </w:r>
      <w:r w:rsidRPr="00B677B3">
        <w:rPr>
          <w:rFonts w:cs="Arial"/>
          <w:vertAlign w:val="subscript"/>
          <w:lang w:eastAsia="ar-SA"/>
        </w:rPr>
        <w:t>2</w:t>
      </w:r>
      <w:r w:rsidRPr="00B677B3">
        <w:rPr>
          <w:rFonts w:cs="Arial"/>
          <w:lang w:eastAsia="ar-SA"/>
        </w:rPr>
        <w:t>)</w:t>
      </w:r>
    </w:p>
    <w:p w14:paraId="623E8782" w14:textId="77777777" w:rsidR="00C27681" w:rsidRDefault="00C27681" w:rsidP="00C27681">
      <w:pPr>
        <w:suppressAutoHyphens/>
        <w:ind w:left="1872" w:hanging="1248"/>
        <w:jc w:val="left"/>
        <w:rPr>
          <w:rFonts w:cs="Arial"/>
          <w:lang w:eastAsia="ar-SA"/>
        </w:rPr>
      </w:pPr>
    </w:p>
    <w:p w14:paraId="13E16A69" w14:textId="77777777" w:rsidR="00C27681" w:rsidRPr="00212F64" w:rsidRDefault="00C27681" w:rsidP="00C27681">
      <w:pPr>
        <w:suppressAutoHyphens/>
        <w:ind w:left="1872" w:hanging="1248"/>
        <w:jc w:val="left"/>
        <w:rPr>
          <w:rFonts w:cs="Arial"/>
          <w:lang w:eastAsia="ar-SA"/>
        </w:rPr>
      </w:pPr>
      <w:r>
        <w:rPr>
          <w:rFonts w:cs="Arial"/>
          <w:lang w:eastAsia="ar-SA"/>
        </w:rPr>
        <w:t>BB</w:t>
      </w:r>
      <w:r w:rsidRPr="000C01DD">
        <w:rPr>
          <w:rFonts w:cs="Arial"/>
          <w:vertAlign w:val="subscript"/>
          <w:lang w:eastAsia="ar-SA"/>
        </w:rPr>
        <w:t>bx,ratio</w:t>
      </w:r>
      <w:r>
        <w:rPr>
          <w:rFonts w:cs="Arial"/>
          <w:vertAlign w:val="subscript"/>
          <w:lang w:eastAsia="ar-SA"/>
        </w:rPr>
        <w:tab/>
      </w:r>
      <w:r>
        <w:rPr>
          <w:rFonts w:cs="Arial"/>
          <w:lang w:eastAsia="ar-SA"/>
        </w:rPr>
        <w:t>The ratio of project population exhibiting the respective baseline scenario (%)</w:t>
      </w:r>
    </w:p>
    <w:p w14:paraId="49BBEC00" w14:textId="77777777" w:rsidR="00C27681" w:rsidRPr="00B677B3" w:rsidRDefault="00C27681" w:rsidP="00C27681">
      <w:pPr>
        <w:suppressAutoHyphens/>
        <w:jc w:val="left"/>
        <w:rPr>
          <w:rFonts w:cs="Arial"/>
          <w:lang w:val="en-US" w:eastAsia="ar-SA"/>
        </w:rPr>
      </w:pPr>
    </w:p>
    <w:p w14:paraId="49599C22" w14:textId="77777777" w:rsidR="00C27681" w:rsidRPr="00B677B3" w:rsidRDefault="00C27681" w:rsidP="00C27681">
      <w:pPr>
        <w:suppressAutoHyphens/>
        <w:autoSpaceDE w:val="0"/>
        <w:autoSpaceDN w:val="0"/>
        <w:adjustRightInd w:val="0"/>
        <w:ind w:left="1872" w:hanging="1248"/>
        <w:jc w:val="left"/>
        <w:rPr>
          <w:rFonts w:cs="Arial"/>
          <w:lang w:eastAsia="ar-SA"/>
        </w:rPr>
      </w:pPr>
      <w:r w:rsidRPr="00B677B3">
        <w:rPr>
          <w:rFonts w:cs="Arial"/>
          <w:lang w:eastAsia="ar-SA"/>
        </w:rPr>
        <w:t>N</w:t>
      </w:r>
      <w:r w:rsidRPr="00B677B3">
        <w:rPr>
          <w:rFonts w:cs="Arial"/>
          <w:vertAlign w:val="subscript"/>
          <w:lang w:eastAsia="ar-SA"/>
        </w:rPr>
        <w:t>p,y</w:t>
      </w:r>
      <w:r w:rsidRPr="00B677B3">
        <w:rPr>
          <w:rFonts w:cs="Arial"/>
          <w:lang w:eastAsia="ar-SA"/>
        </w:rPr>
        <w:tab/>
        <w:t>Cumulative project operational rate included in the project database for project scenario p against baseline scenario b in year y</w:t>
      </w:r>
    </w:p>
    <w:p w14:paraId="0DC79FEB" w14:textId="77777777" w:rsidR="00C27681" w:rsidRPr="00B677B3" w:rsidRDefault="00C27681" w:rsidP="00C27681">
      <w:pPr>
        <w:suppressAutoHyphens/>
        <w:autoSpaceDE w:val="0"/>
        <w:autoSpaceDN w:val="0"/>
        <w:adjustRightInd w:val="0"/>
        <w:ind w:left="1872" w:hanging="1248"/>
        <w:jc w:val="left"/>
        <w:rPr>
          <w:rFonts w:cs="Arial"/>
          <w:szCs w:val="22"/>
          <w:lang w:eastAsia="ar-SA"/>
        </w:rPr>
      </w:pPr>
    </w:p>
    <w:p w14:paraId="3E4EAC80" w14:textId="77777777" w:rsidR="00C27681" w:rsidRPr="00B677B3" w:rsidRDefault="00C27681" w:rsidP="00C27681">
      <w:pPr>
        <w:suppressAutoHyphens/>
        <w:ind w:left="1872" w:hanging="1248"/>
        <w:jc w:val="left"/>
        <w:rPr>
          <w:rFonts w:cs="Arial"/>
          <w:lang w:eastAsia="ar-SA"/>
        </w:rPr>
      </w:pPr>
      <w:r w:rsidRPr="00B677B3">
        <w:rPr>
          <w:rFonts w:cs="Arial"/>
          <w:lang w:eastAsia="ar-SA"/>
        </w:rPr>
        <w:t>U</w:t>
      </w:r>
      <w:r w:rsidRPr="00B677B3">
        <w:rPr>
          <w:rFonts w:cs="Arial"/>
          <w:vertAlign w:val="subscript"/>
          <w:lang w:eastAsia="ar-SA"/>
        </w:rPr>
        <w:t xml:space="preserve">p,y </w:t>
      </w:r>
      <w:r w:rsidRPr="00B677B3">
        <w:rPr>
          <w:rFonts w:cs="Arial"/>
          <w:lang w:eastAsia="ar-SA"/>
        </w:rPr>
        <w:tab/>
        <w:t>Cumulative usage rate for technologies in project scenario p in year y, based on cumulative adoption rate and drop off rate (fraction)</w:t>
      </w:r>
    </w:p>
    <w:p w14:paraId="6B3C71D4" w14:textId="77777777" w:rsidR="00C27681" w:rsidRDefault="00C27681" w:rsidP="00C27681">
      <w:pPr>
        <w:rPr>
          <w:rFonts w:cs="Arial"/>
          <w:lang w:val="en-US"/>
        </w:rPr>
      </w:pPr>
    </w:p>
    <w:p w14:paraId="08E7CF39" w14:textId="77777777" w:rsidR="00EA1096" w:rsidRPr="00A92C56" w:rsidRDefault="00C27681" w:rsidP="00EA1096">
      <w:pPr>
        <w:rPr>
          <w:rFonts w:cs="Arial"/>
          <w:lang w:val="en-US"/>
        </w:rPr>
      </w:pPr>
      <w:r w:rsidRPr="00A92C56">
        <w:rPr>
          <w:rFonts w:cs="Arial"/>
          <w:lang w:val="en-US"/>
        </w:rPr>
        <w:t xml:space="preserve">The usage rate is used to discount the ERs and is calculated in section 3.1. </w:t>
      </w:r>
      <w:r w:rsidR="00EA1096" w:rsidRPr="00A92C56">
        <w:rPr>
          <w:rFonts w:cs="Arial"/>
          <w:lang w:val="en-US"/>
        </w:rPr>
        <w:t>The next table shows the ex-ante estimate of the emission reductions</w:t>
      </w:r>
      <w:r w:rsidR="00EA1096">
        <w:rPr>
          <w:rFonts w:cs="Arial"/>
          <w:lang w:val="en-US"/>
        </w:rPr>
        <w:t xml:space="preserve"> over the crediting period</w:t>
      </w:r>
      <w:r w:rsidR="00EA1096" w:rsidRPr="00A92C56">
        <w:rPr>
          <w:rFonts w:cs="Arial"/>
          <w:vertAlign w:val="superscript"/>
          <w:lang w:val="en-US"/>
        </w:rPr>
        <w:footnoteReference w:id="31"/>
      </w:r>
      <w:r w:rsidR="00EA1096" w:rsidRPr="00A92C56">
        <w:rPr>
          <w:rFonts w:cs="Arial"/>
          <w:lang w:val="en-US"/>
        </w:rPr>
        <w:t>:</w:t>
      </w:r>
    </w:p>
    <w:p w14:paraId="40058544" w14:textId="77777777" w:rsidR="0093628B" w:rsidRPr="0093628B" w:rsidRDefault="00B53A36" w:rsidP="00CB783F">
      <w:pPr>
        <w:pStyle w:val="Caption"/>
        <w:ind w:hanging="1956"/>
        <w:rPr>
          <w:rFonts w:cs="Arial"/>
          <w:i/>
          <w:lang w:val="en-US"/>
        </w:rPr>
      </w:pPr>
      <w:r>
        <w:t xml:space="preserve">Table </w:t>
      </w:r>
      <w:r w:rsidR="00386F9E">
        <w:fldChar w:fldCharType="begin"/>
      </w:r>
      <w:r>
        <w:instrText xml:space="preserve"> SEQ Table \* ARABIC </w:instrText>
      </w:r>
      <w:r w:rsidR="00386F9E">
        <w:fldChar w:fldCharType="separate"/>
      </w:r>
      <w:r w:rsidR="00FE38F8">
        <w:rPr>
          <w:noProof/>
        </w:rPr>
        <w:t>11</w:t>
      </w:r>
      <w:r w:rsidR="00386F9E">
        <w:fldChar w:fldCharType="end"/>
      </w:r>
      <w:r>
        <w:t xml:space="preserve"> </w:t>
      </w:r>
      <w:r w:rsidR="0093628B" w:rsidRPr="00CB783F">
        <w:rPr>
          <w:rFonts w:cs="Arial"/>
          <w:b w:val="0"/>
          <w:i/>
          <w:lang w:val="en-US"/>
        </w:rPr>
        <w:t>Project emissions, baseline emissions, leakage and overall emissions per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bottom w:w="23" w:type="dxa"/>
        </w:tblCellMar>
        <w:tblLook w:val="0160" w:firstRow="1" w:lastRow="1" w:firstColumn="0" w:lastColumn="1" w:noHBand="0" w:noVBand="0"/>
      </w:tblPr>
      <w:tblGrid>
        <w:gridCol w:w="1743"/>
        <w:gridCol w:w="1951"/>
        <w:gridCol w:w="1955"/>
        <w:gridCol w:w="1966"/>
        <w:gridCol w:w="2014"/>
      </w:tblGrid>
      <w:tr w:rsidR="00C27681" w:rsidRPr="00F1663A" w14:paraId="73756F3A" w14:textId="77777777" w:rsidTr="00102BAE">
        <w:trPr>
          <w:cantSplit/>
          <w:jc w:val="center"/>
        </w:trPr>
        <w:tc>
          <w:tcPr>
            <w:tcW w:w="905" w:type="pct"/>
            <w:shd w:val="clear" w:color="auto" w:fill="D9D9D9"/>
            <w:vAlign w:val="center"/>
          </w:tcPr>
          <w:p w14:paraId="2ED64717" w14:textId="77777777" w:rsidR="00C27681" w:rsidRPr="00F1663A" w:rsidRDefault="00C27681" w:rsidP="00102BAE">
            <w:pPr>
              <w:pStyle w:val="SDMTableBoxParaNotNumbered"/>
            </w:pPr>
            <w:r w:rsidRPr="00F1663A">
              <w:t>Year</w:t>
            </w:r>
          </w:p>
        </w:tc>
        <w:tc>
          <w:tcPr>
            <w:tcW w:w="1013" w:type="pct"/>
            <w:shd w:val="clear" w:color="auto" w:fill="D9D9D9"/>
            <w:vAlign w:val="center"/>
          </w:tcPr>
          <w:p w14:paraId="6D71F879" w14:textId="77777777" w:rsidR="00C27681" w:rsidRPr="00F1663A" w:rsidRDefault="00C27681" w:rsidP="00102BAE">
            <w:pPr>
              <w:pStyle w:val="SDMTableBoxParaNotNumbered"/>
            </w:pPr>
            <w:r w:rsidRPr="00F1663A">
              <w:t>Baseline emissions</w:t>
            </w:r>
            <w:r w:rsidRPr="00F1663A">
              <w:br/>
              <w:t>(t CO</w:t>
            </w:r>
            <w:r w:rsidRPr="00F1663A">
              <w:rPr>
                <w:rFonts w:ascii="Times New Roman Bold" w:hAnsi="Times New Roman Bold"/>
                <w:vertAlign w:val="subscript"/>
              </w:rPr>
              <w:t>2</w:t>
            </w:r>
            <w:r w:rsidRPr="00F1663A">
              <w:t>e)</w:t>
            </w:r>
          </w:p>
        </w:tc>
        <w:tc>
          <w:tcPr>
            <w:tcW w:w="1015" w:type="pct"/>
            <w:shd w:val="clear" w:color="auto" w:fill="D9D9D9"/>
            <w:vAlign w:val="center"/>
          </w:tcPr>
          <w:p w14:paraId="48561FDC" w14:textId="77777777" w:rsidR="00C27681" w:rsidRPr="00F1663A" w:rsidRDefault="00C27681" w:rsidP="00102BAE">
            <w:pPr>
              <w:pStyle w:val="SDMTableBoxParaNotNumbered"/>
            </w:pPr>
            <w:r w:rsidRPr="00F1663A">
              <w:t>Project emissions</w:t>
            </w:r>
            <w:r w:rsidRPr="00F1663A">
              <w:br/>
              <w:t>(t CO</w:t>
            </w:r>
            <w:r w:rsidRPr="00F1663A">
              <w:rPr>
                <w:rFonts w:ascii="Times New Roman Bold" w:hAnsi="Times New Roman Bold"/>
                <w:vertAlign w:val="subscript"/>
              </w:rPr>
              <w:t>2</w:t>
            </w:r>
            <w:r w:rsidRPr="00F1663A">
              <w:t>e)</w:t>
            </w:r>
          </w:p>
        </w:tc>
        <w:tc>
          <w:tcPr>
            <w:tcW w:w="1021" w:type="pct"/>
            <w:shd w:val="clear" w:color="auto" w:fill="D9D9D9"/>
            <w:vAlign w:val="center"/>
          </w:tcPr>
          <w:p w14:paraId="2B1115F6" w14:textId="77777777" w:rsidR="00C27681" w:rsidRPr="00F1663A" w:rsidRDefault="00C27681" w:rsidP="00102BAE">
            <w:pPr>
              <w:pStyle w:val="SDMTableBoxParaNotNumbered"/>
            </w:pPr>
            <w:r w:rsidRPr="00F1663A">
              <w:t>Leakage</w:t>
            </w:r>
            <w:r w:rsidRPr="00F1663A">
              <w:br/>
              <w:t>(t CO</w:t>
            </w:r>
            <w:r w:rsidRPr="00F1663A">
              <w:rPr>
                <w:rFonts w:ascii="Times New Roman Bold" w:hAnsi="Times New Roman Bold"/>
                <w:vertAlign w:val="subscript"/>
              </w:rPr>
              <w:t>2</w:t>
            </w:r>
            <w:r w:rsidRPr="00F1663A">
              <w:t>e)</w:t>
            </w:r>
          </w:p>
        </w:tc>
        <w:tc>
          <w:tcPr>
            <w:tcW w:w="1046" w:type="pct"/>
            <w:shd w:val="clear" w:color="auto" w:fill="D9D9D9"/>
            <w:vAlign w:val="center"/>
          </w:tcPr>
          <w:p w14:paraId="49844C71" w14:textId="77777777" w:rsidR="00C27681" w:rsidRPr="00F1663A" w:rsidRDefault="00C27681" w:rsidP="00102BAE">
            <w:pPr>
              <w:pStyle w:val="SDMTableBoxParaNotNumbered"/>
            </w:pPr>
            <w:r w:rsidRPr="00F1663A">
              <w:t>Emission reductions</w:t>
            </w:r>
            <w:r w:rsidRPr="00F1663A">
              <w:br/>
              <w:t>(t CO</w:t>
            </w:r>
            <w:r w:rsidRPr="00F1663A">
              <w:rPr>
                <w:rFonts w:ascii="Times New Roman Bold" w:hAnsi="Times New Roman Bold"/>
                <w:vertAlign w:val="subscript"/>
              </w:rPr>
              <w:t>2</w:t>
            </w:r>
            <w:r w:rsidRPr="00F1663A">
              <w:t>e)</w:t>
            </w:r>
          </w:p>
        </w:tc>
      </w:tr>
      <w:tr w:rsidR="00F1663A" w:rsidRPr="00F1663A" w14:paraId="4B38C7C5" w14:textId="77777777" w:rsidTr="00FE38F8">
        <w:trPr>
          <w:cantSplit/>
          <w:jc w:val="center"/>
        </w:trPr>
        <w:tc>
          <w:tcPr>
            <w:tcW w:w="905" w:type="pct"/>
            <w:shd w:val="clear" w:color="auto" w:fill="auto"/>
            <w:vAlign w:val="center"/>
          </w:tcPr>
          <w:p w14:paraId="7B38FEA6" w14:textId="77777777" w:rsidR="00F1663A" w:rsidRPr="00F1663A" w:rsidRDefault="00F1663A" w:rsidP="00F1663A">
            <w:pPr>
              <w:pStyle w:val="SDMTableBoxParaNotNumbered"/>
            </w:pPr>
            <w:r w:rsidRPr="00F1663A">
              <w:rPr>
                <w:rFonts w:cs="Arial"/>
              </w:rPr>
              <w:t>2016</w:t>
            </w:r>
          </w:p>
        </w:tc>
        <w:tc>
          <w:tcPr>
            <w:tcW w:w="1013" w:type="pct"/>
            <w:shd w:val="clear" w:color="auto" w:fill="auto"/>
            <w:vAlign w:val="center"/>
          </w:tcPr>
          <w:p w14:paraId="548E2CCD" w14:textId="77777777" w:rsidR="00F1663A" w:rsidRPr="00F1663A" w:rsidRDefault="00F1663A" w:rsidP="00F1663A">
            <w:pPr>
              <w:pStyle w:val="SDMTableBoxParaNotNumbered"/>
              <w:jc w:val="right"/>
            </w:pPr>
            <w:r w:rsidRPr="00F1663A">
              <w:rPr>
                <w:rFonts w:cs="Arial"/>
              </w:rPr>
              <w:t xml:space="preserve">      42,508 </w:t>
            </w:r>
          </w:p>
        </w:tc>
        <w:tc>
          <w:tcPr>
            <w:tcW w:w="1015" w:type="pct"/>
            <w:shd w:val="clear" w:color="auto" w:fill="auto"/>
            <w:vAlign w:val="center"/>
          </w:tcPr>
          <w:p w14:paraId="6D59901C" w14:textId="77777777" w:rsidR="00F1663A" w:rsidRPr="00F1663A" w:rsidRDefault="00F1663A" w:rsidP="00F1663A">
            <w:pPr>
              <w:pStyle w:val="SDMTableBoxParaNotNumbered"/>
              <w:jc w:val="right"/>
            </w:pPr>
            <w:r w:rsidRPr="00F1663A">
              <w:rPr>
                <w:rFonts w:cs="Arial"/>
              </w:rPr>
              <w:t xml:space="preserve">      13,015 </w:t>
            </w:r>
          </w:p>
        </w:tc>
        <w:tc>
          <w:tcPr>
            <w:tcW w:w="1021" w:type="pct"/>
            <w:shd w:val="clear" w:color="auto" w:fill="auto"/>
            <w:vAlign w:val="center"/>
          </w:tcPr>
          <w:p w14:paraId="1FFA61A2" w14:textId="77777777" w:rsidR="00F1663A" w:rsidRPr="00F1663A" w:rsidRDefault="00F1663A" w:rsidP="00F1663A">
            <w:pPr>
              <w:pStyle w:val="SDMTableBoxParaNotNumbered"/>
              <w:jc w:val="right"/>
            </w:pPr>
            <w:r w:rsidRPr="00F1663A">
              <w:rPr>
                <w:rFonts w:cs="Arial"/>
              </w:rPr>
              <w:t xml:space="preserve">            -    </w:t>
            </w:r>
          </w:p>
        </w:tc>
        <w:tc>
          <w:tcPr>
            <w:tcW w:w="1046" w:type="pct"/>
            <w:shd w:val="clear" w:color="auto" w:fill="auto"/>
            <w:vAlign w:val="center"/>
          </w:tcPr>
          <w:p w14:paraId="63804736" w14:textId="77777777" w:rsidR="00F1663A" w:rsidRPr="00F1663A" w:rsidRDefault="00F1663A" w:rsidP="00F1663A">
            <w:pPr>
              <w:pStyle w:val="SDMTableBoxParaNotNumbered"/>
              <w:jc w:val="right"/>
            </w:pPr>
            <w:r w:rsidRPr="00F1663A">
              <w:rPr>
                <w:rFonts w:cs="Arial"/>
              </w:rPr>
              <w:t xml:space="preserve">      29,493 </w:t>
            </w:r>
          </w:p>
        </w:tc>
      </w:tr>
      <w:tr w:rsidR="00F1663A" w:rsidRPr="00F1663A" w14:paraId="5B82D6FE" w14:textId="77777777" w:rsidTr="00FE38F8">
        <w:trPr>
          <w:cantSplit/>
          <w:jc w:val="center"/>
        </w:trPr>
        <w:tc>
          <w:tcPr>
            <w:tcW w:w="905" w:type="pct"/>
            <w:shd w:val="clear" w:color="auto" w:fill="auto"/>
            <w:vAlign w:val="center"/>
          </w:tcPr>
          <w:p w14:paraId="5C54B2A5" w14:textId="77777777" w:rsidR="00F1663A" w:rsidRPr="00F1663A" w:rsidRDefault="00F1663A" w:rsidP="00F1663A">
            <w:pPr>
              <w:pStyle w:val="SDMTableBoxParaNotNumbered"/>
            </w:pPr>
            <w:r w:rsidRPr="00F1663A">
              <w:rPr>
                <w:rFonts w:cs="Arial"/>
              </w:rPr>
              <w:t>2017</w:t>
            </w:r>
          </w:p>
        </w:tc>
        <w:tc>
          <w:tcPr>
            <w:tcW w:w="1013" w:type="pct"/>
            <w:shd w:val="clear" w:color="auto" w:fill="auto"/>
            <w:vAlign w:val="center"/>
          </w:tcPr>
          <w:p w14:paraId="38565B3A" w14:textId="77777777" w:rsidR="00F1663A" w:rsidRPr="00F1663A" w:rsidRDefault="00F1663A" w:rsidP="00F1663A">
            <w:pPr>
              <w:pStyle w:val="SDMTableBoxParaNotNumbered"/>
              <w:jc w:val="right"/>
            </w:pPr>
            <w:r w:rsidRPr="00F1663A">
              <w:rPr>
                <w:rFonts w:cs="Arial"/>
              </w:rPr>
              <w:t xml:space="preserve">      49,246 </w:t>
            </w:r>
          </w:p>
        </w:tc>
        <w:tc>
          <w:tcPr>
            <w:tcW w:w="1015" w:type="pct"/>
            <w:shd w:val="clear" w:color="auto" w:fill="auto"/>
            <w:vAlign w:val="center"/>
          </w:tcPr>
          <w:p w14:paraId="63F6A080" w14:textId="77777777" w:rsidR="00F1663A" w:rsidRPr="00F1663A" w:rsidRDefault="00F1663A" w:rsidP="00F1663A">
            <w:pPr>
              <w:pStyle w:val="SDMTableBoxParaNotNumbered"/>
              <w:jc w:val="right"/>
            </w:pPr>
            <w:r w:rsidRPr="00F1663A">
              <w:rPr>
                <w:rFonts w:cs="Arial"/>
              </w:rPr>
              <w:t xml:space="preserve">      15,078 </w:t>
            </w:r>
          </w:p>
        </w:tc>
        <w:tc>
          <w:tcPr>
            <w:tcW w:w="1021" w:type="pct"/>
            <w:shd w:val="clear" w:color="auto" w:fill="auto"/>
            <w:vAlign w:val="center"/>
          </w:tcPr>
          <w:p w14:paraId="077845F1" w14:textId="77777777" w:rsidR="00F1663A" w:rsidRPr="00F1663A" w:rsidRDefault="00F1663A" w:rsidP="00F1663A">
            <w:pPr>
              <w:pStyle w:val="SDMTableBoxParaNotNumbered"/>
              <w:jc w:val="right"/>
            </w:pPr>
            <w:r w:rsidRPr="00F1663A">
              <w:rPr>
                <w:rFonts w:cs="Arial"/>
              </w:rPr>
              <w:t xml:space="preserve">            -    </w:t>
            </w:r>
          </w:p>
        </w:tc>
        <w:tc>
          <w:tcPr>
            <w:tcW w:w="1046" w:type="pct"/>
            <w:shd w:val="clear" w:color="auto" w:fill="auto"/>
            <w:vAlign w:val="center"/>
          </w:tcPr>
          <w:p w14:paraId="2C1FD032" w14:textId="77777777" w:rsidR="00F1663A" w:rsidRPr="00F1663A" w:rsidRDefault="00F1663A" w:rsidP="00F1663A">
            <w:pPr>
              <w:pStyle w:val="SDMTableBoxParaNotNumbered"/>
              <w:jc w:val="right"/>
            </w:pPr>
            <w:r w:rsidRPr="00F1663A">
              <w:rPr>
                <w:rFonts w:cs="Arial"/>
              </w:rPr>
              <w:t xml:space="preserve">      34,168 </w:t>
            </w:r>
          </w:p>
        </w:tc>
      </w:tr>
      <w:tr w:rsidR="00F1663A" w:rsidRPr="00F1663A" w14:paraId="293B1D48" w14:textId="77777777" w:rsidTr="00FE38F8">
        <w:trPr>
          <w:cantSplit/>
          <w:jc w:val="center"/>
        </w:trPr>
        <w:tc>
          <w:tcPr>
            <w:tcW w:w="905" w:type="pct"/>
            <w:shd w:val="clear" w:color="auto" w:fill="auto"/>
            <w:vAlign w:val="center"/>
          </w:tcPr>
          <w:p w14:paraId="457EBD64" w14:textId="77777777" w:rsidR="00F1663A" w:rsidRPr="00F1663A" w:rsidRDefault="00F1663A" w:rsidP="00F1663A">
            <w:pPr>
              <w:pStyle w:val="SDMTableBoxParaNotNumbered"/>
            </w:pPr>
            <w:r w:rsidRPr="00F1663A">
              <w:rPr>
                <w:rFonts w:cs="Arial"/>
              </w:rPr>
              <w:t>2018</w:t>
            </w:r>
          </w:p>
        </w:tc>
        <w:tc>
          <w:tcPr>
            <w:tcW w:w="1013" w:type="pct"/>
            <w:shd w:val="clear" w:color="auto" w:fill="auto"/>
            <w:vAlign w:val="center"/>
          </w:tcPr>
          <w:p w14:paraId="2A348D7B" w14:textId="77777777" w:rsidR="00F1663A" w:rsidRPr="00F1663A" w:rsidRDefault="00F1663A" w:rsidP="00F1663A">
            <w:pPr>
              <w:pStyle w:val="SDMTableBoxParaNotNumbered"/>
              <w:jc w:val="right"/>
            </w:pPr>
            <w:r w:rsidRPr="00F1663A">
              <w:rPr>
                <w:rFonts w:cs="Arial"/>
              </w:rPr>
              <w:t xml:space="preserve">      50,230 </w:t>
            </w:r>
          </w:p>
        </w:tc>
        <w:tc>
          <w:tcPr>
            <w:tcW w:w="1015" w:type="pct"/>
            <w:shd w:val="clear" w:color="auto" w:fill="auto"/>
            <w:vAlign w:val="center"/>
          </w:tcPr>
          <w:p w14:paraId="3D246D98" w14:textId="77777777" w:rsidR="00F1663A" w:rsidRPr="00F1663A" w:rsidRDefault="00F1663A" w:rsidP="00F1663A">
            <w:pPr>
              <w:pStyle w:val="SDMTableBoxParaNotNumbered"/>
              <w:jc w:val="right"/>
            </w:pPr>
            <w:r w:rsidRPr="00F1663A">
              <w:rPr>
                <w:rFonts w:cs="Arial"/>
              </w:rPr>
              <w:t xml:space="preserve">      15,379 </w:t>
            </w:r>
          </w:p>
        </w:tc>
        <w:tc>
          <w:tcPr>
            <w:tcW w:w="1021" w:type="pct"/>
            <w:shd w:val="clear" w:color="auto" w:fill="auto"/>
            <w:vAlign w:val="center"/>
          </w:tcPr>
          <w:p w14:paraId="398D25C1" w14:textId="77777777" w:rsidR="00F1663A" w:rsidRPr="00F1663A" w:rsidRDefault="00F1663A" w:rsidP="00F1663A">
            <w:pPr>
              <w:pStyle w:val="SDMTableBoxParaNotNumbered"/>
              <w:jc w:val="right"/>
            </w:pPr>
            <w:r w:rsidRPr="00F1663A">
              <w:rPr>
                <w:rFonts w:cs="Arial"/>
              </w:rPr>
              <w:t xml:space="preserve">            -    </w:t>
            </w:r>
          </w:p>
        </w:tc>
        <w:tc>
          <w:tcPr>
            <w:tcW w:w="1046" w:type="pct"/>
            <w:shd w:val="clear" w:color="auto" w:fill="auto"/>
            <w:vAlign w:val="center"/>
          </w:tcPr>
          <w:p w14:paraId="76EE262A" w14:textId="77777777" w:rsidR="00F1663A" w:rsidRPr="00F1663A" w:rsidRDefault="00F1663A" w:rsidP="00F1663A">
            <w:pPr>
              <w:pStyle w:val="SDMTableBoxParaNotNumbered"/>
              <w:jc w:val="right"/>
            </w:pPr>
            <w:r w:rsidRPr="00F1663A">
              <w:rPr>
                <w:rFonts w:cs="Arial"/>
              </w:rPr>
              <w:t xml:space="preserve">      34,851 </w:t>
            </w:r>
          </w:p>
        </w:tc>
      </w:tr>
      <w:tr w:rsidR="00F1663A" w:rsidRPr="00F1663A" w14:paraId="0F853276" w14:textId="77777777" w:rsidTr="00FE38F8">
        <w:trPr>
          <w:cantSplit/>
          <w:jc w:val="center"/>
        </w:trPr>
        <w:tc>
          <w:tcPr>
            <w:tcW w:w="905" w:type="pct"/>
            <w:tcBorders>
              <w:bottom w:val="single" w:sz="4" w:space="0" w:color="auto"/>
            </w:tcBorders>
            <w:shd w:val="clear" w:color="auto" w:fill="auto"/>
            <w:vAlign w:val="center"/>
          </w:tcPr>
          <w:p w14:paraId="5BDF2F18" w14:textId="77777777" w:rsidR="00F1663A" w:rsidRPr="00F1663A" w:rsidRDefault="00F1663A" w:rsidP="00F1663A">
            <w:pPr>
              <w:pStyle w:val="SDMTableBoxParaNotNumbered"/>
            </w:pPr>
            <w:r w:rsidRPr="00F1663A">
              <w:rPr>
                <w:rFonts w:cs="Arial"/>
              </w:rPr>
              <w:t>2019</w:t>
            </w:r>
          </w:p>
        </w:tc>
        <w:tc>
          <w:tcPr>
            <w:tcW w:w="1013" w:type="pct"/>
            <w:shd w:val="clear" w:color="auto" w:fill="auto"/>
            <w:vAlign w:val="center"/>
          </w:tcPr>
          <w:p w14:paraId="1C1E80B1" w14:textId="77777777" w:rsidR="00F1663A" w:rsidRPr="00F1663A" w:rsidRDefault="00F1663A" w:rsidP="00F1663A">
            <w:pPr>
              <w:pStyle w:val="SDMTableBoxParaNotNumbered"/>
              <w:jc w:val="right"/>
            </w:pPr>
            <w:r w:rsidRPr="00F1663A">
              <w:rPr>
                <w:rFonts w:cs="Arial"/>
              </w:rPr>
              <w:t xml:space="preserve">      50,230 </w:t>
            </w:r>
          </w:p>
        </w:tc>
        <w:tc>
          <w:tcPr>
            <w:tcW w:w="1015" w:type="pct"/>
            <w:shd w:val="clear" w:color="auto" w:fill="auto"/>
            <w:vAlign w:val="center"/>
          </w:tcPr>
          <w:p w14:paraId="593BB907" w14:textId="77777777" w:rsidR="00F1663A" w:rsidRPr="00F1663A" w:rsidRDefault="00F1663A" w:rsidP="00F1663A">
            <w:pPr>
              <w:pStyle w:val="SDMTableBoxParaNotNumbered"/>
              <w:jc w:val="right"/>
            </w:pPr>
            <w:r w:rsidRPr="00F1663A">
              <w:rPr>
                <w:rFonts w:cs="Arial"/>
              </w:rPr>
              <w:t xml:space="preserve">      15,379 </w:t>
            </w:r>
          </w:p>
        </w:tc>
        <w:tc>
          <w:tcPr>
            <w:tcW w:w="1021" w:type="pct"/>
            <w:shd w:val="clear" w:color="auto" w:fill="auto"/>
            <w:vAlign w:val="center"/>
          </w:tcPr>
          <w:p w14:paraId="63361A42" w14:textId="77777777" w:rsidR="00F1663A" w:rsidRPr="00F1663A" w:rsidRDefault="00F1663A" w:rsidP="00F1663A">
            <w:pPr>
              <w:pStyle w:val="SDMTableBoxParaNotNumbered"/>
              <w:jc w:val="right"/>
            </w:pPr>
            <w:r w:rsidRPr="00F1663A">
              <w:rPr>
                <w:rFonts w:cs="Arial"/>
              </w:rPr>
              <w:t xml:space="preserve">            -    </w:t>
            </w:r>
          </w:p>
        </w:tc>
        <w:tc>
          <w:tcPr>
            <w:tcW w:w="1046" w:type="pct"/>
            <w:shd w:val="clear" w:color="auto" w:fill="auto"/>
            <w:vAlign w:val="center"/>
          </w:tcPr>
          <w:p w14:paraId="2D9A3237" w14:textId="77777777" w:rsidR="00F1663A" w:rsidRPr="00F1663A" w:rsidRDefault="00F1663A" w:rsidP="00F1663A">
            <w:pPr>
              <w:pStyle w:val="SDMTableBoxParaNotNumbered"/>
              <w:jc w:val="right"/>
            </w:pPr>
            <w:r w:rsidRPr="00F1663A">
              <w:rPr>
                <w:rFonts w:cs="Arial"/>
              </w:rPr>
              <w:t xml:space="preserve">      34,851 </w:t>
            </w:r>
          </w:p>
        </w:tc>
      </w:tr>
      <w:tr w:rsidR="00F1663A" w:rsidRPr="00F1663A" w14:paraId="6FCD3629" w14:textId="77777777" w:rsidTr="00FE38F8">
        <w:trPr>
          <w:cantSplit/>
          <w:jc w:val="center"/>
        </w:trPr>
        <w:tc>
          <w:tcPr>
            <w:tcW w:w="905" w:type="pct"/>
            <w:tcBorders>
              <w:bottom w:val="single" w:sz="4" w:space="0" w:color="auto"/>
            </w:tcBorders>
            <w:shd w:val="clear" w:color="auto" w:fill="auto"/>
            <w:vAlign w:val="center"/>
          </w:tcPr>
          <w:p w14:paraId="03EDA17A" w14:textId="77777777" w:rsidR="00F1663A" w:rsidRPr="00F1663A" w:rsidRDefault="00F1663A" w:rsidP="00F1663A">
            <w:pPr>
              <w:pStyle w:val="SDMTableBoxParaNotNumbered"/>
            </w:pPr>
            <w:r w:rsidRPr="00F1663A">
              <w:rPr>
                <w:rFonts w:cs="Arial"/>
              </w:rPr>
              <w:t>2020</w:t>
            </w:r>
          </w:p>
        </w:tc>
        <w:tc>
          <w:tcPr>
            <w:tcW w:w="1013" w:type="pct"/>
            <w:shd w:val="clear" w:color="auto" w:fill="auto"/>
            <w:vAlign w:val="center"/>
          </w:tcPr>
          <w:p w14:paraId="4E58792C" w14:textId="77777777" w:rsidR="00F1663A" w:rsidRPr="00F1663A" w:rsidRDefault="00F1663A" w:rsidP="00F1663A">
            <w:pPr>
              <w:pStyle w:val="SDMTableBoxParaNotNumbered"/>
              <w:jc w:val="right"/>
            </w:pPr>
            <w:r w:rsidRPr="00F1663A">
              <w:rPr>
                <w:rFonts w:cs="Arial"/>
              </w:rPr>
              <w:t xml:space="preserve">      50,230 </w:t>
            </w:r>
          </w:p>
        </w:tc>
        <w:tc>
          <w:tcPr>
            <w:tcW w:w="1015" w:type="pct"/>
            <w:shd w:val="clear" w:color="auto" w:fill="auto"/>
            <w:vAlign w:val="center"/>
          </w:tcPr>
          <w:p w14:paraId="332D5B23" w14:textId="77777777" w:rsidR="00F1663A" w:rsidRPr="00F1663A" w:rsidRDefault="00F1663A" w:rsidP="00F1663A">
            <w:pPr>
              <w:pStyle w:val="SDMTableBoxParaNotNumbered"/>
              <w:jc w:val="right"/>
            </w:pPr>
            <w:r w:rsidRPr="00F1663A">
              <w:rPr>
                <w:rFonts w:cs="Arial"/>
              </w:rPr>
              <w:t xml:space="preserve">      15,379 </w:t>
            </w:r>
          </w:p>
        </w:tc>
        <w:tc>
          <w:tcPr>
            <w:tcW w:w="1021" w:type="pct"/>
            <w:shd w:val="clear" w:color="auto" w:fill="auto"/>
            <w:vAlign w:val="center"/>
          </w:tcPr>
          <w:p w14:paraId="6E0E127F" w14:textId="77777777" w:rsidR="00F1663A" w:rsidRPr="00F1663A" w:rsidRDefault="00F1663A" w:rsidP="00F1663A">
            <w:pPr>
              <w:pStyle w:val="SDMTableBoxParaNotNumbered"/>
              <w:jc w:val="right"/>
            </w:pPr>
            <w:r w:rsidRPr="00F1663A">
              <w:rPr>
                <w:rFonts w:cs="Arial"/>
              </w:rPr>
              <w:t xml:space="preserve">            -    </w:t>
            </w:r>
          </w:p>
        </w:tc>
        <w:tc>
          <w:tcPr>
            <w:tcW w:w="1046" w:type="pct"/>
            <w:shd w:val="clear" w:color="auto" w:fill="auto"/>
            <w:vAlign w:val="center"/>
          </w:tcPr>
          <w:p w14:paraId="2CE8889A" w14:textId="77777777" w:rsidR="00F1663A" w:rsidRPr="00F1663A" w:rsidRDefault="00F1663A" w:rsidP="00F1663A">
            <w:pPr>
              <w:pStyle w:val="SDMTableBoxParaNotNumbered"/>
              <w:jc w:val="right"/>
            </w:pPr>
            <w:r w:rsidRPr="00F1663A">
              <w:rPr>
                <w:rFonts w:cs="Arial"/>
              </w:rPr>
              <w:t xml:space="preserve">      34,851 </w:t>
            </w:r>
          </w:p>
        </w:tc>
      </w:tr>
      <w:tr w:rsidR="00F1663A" w:rsidRPr="00F1663A" w14:paraId="45CBF7B2" w14:textId="77777777" w:rsidTr="00FE38F8">
        <w:trPr>
          <w:cantSplit/>
          <w:jc w:val="center"/>
        </w:trPr>
        <w:tc>
          <w:tcPr>
            <w:tcW w:w="905" w:type="pct"/>
            <w:tcBorders>
              <w:bottom w:val="single" w:sz="4" w:space="0" w:color="auto"/>
            </w:tcBorders>
            <w:shd w:val="clear" w:color="auto" w:fill="auto"/>
            <w:vAlign w:val="center"/>
          </w:tcPr>
          <w:p w14:paraId="2EA3C845" w14:textId="77777777" w:rsidR="00F1663A" w:rsidRPr="00F1663A" w:rsidRDefault="00F1663A" w:rsidP="00F1663A">
            <w:pPr>
              <w:pStyle w:val="SDMTableBoxParaNotNumbered"/>
            </w:pPr>
            <w:r w:rsidRPr="00F1663A">
              <w:rPr>
                <w:rFonts w:cs="Arial"/>
              </w:rPr>
              <w:t>2021</w:t>
            </w:r>
          </w:p>
        </w:tc>
        <w:tc>
          <w:tcPr>
            <w:tcW w:w="1013" w:type="pct"/>
            <w:shd w:val="clear" w:color="auto" w:fill="auto"/>
            <w:vAlign w:val="center"/>
          </w:tcPr>
          <w:p w14:paraId="5C46BED4" w14:textId="77777777" w:rsidR="00F1663A" w:rsidRPr="00F1663A" w:rsidRDefault="00F1663A" w:rsidP="00F1663A">
            <w:pPr>
              <w:pStyle w:val="SDMTableBoxParaNotNumbered"/>
              <w:jc w:val="right"/>
            </w:pPr>
            <w:r w:rsidRPr="00F1663A">
              <w:rPr>
                <w:rFonts w:cs="Arial"/>
              </w:rPr>
              <w:t xml:space="preserve">      50,230 </w:t>
            </w:r>
          </w:p>
        </w:tc>
        <w:tc>
          <w:tcPr>
            <w:tcW w:w="1015" w:type="pct"/>
            <w:shd w:val="clear" w:color="auto" w:fill="auto"/>
            <w:vAlign w:val="center"/>
          </w:tcPr>
          <w:p w14:paraId="2113BAF6" w14:textId="77777777" w:rsidR="00F1663A" w:rsidRPr="00F1663A" w:rsidRDefault="00F1663A" w:rsidP="00F1663A">
            <w:pPr>
              <w:pStyle w:val="SDMTableBoxParaNotNumbered"/>
              <w:jc w:val="right"/>
            </w:pPr>
            <w:r w:rsidRPr="00F1663A">
              <w:rPr>
                <w:rFonts w:cs="Arial"/>
              </w:rPr>
              <w:t xml:space="preserve">      15,379 </w:t>
            </w:r>
          </w:p>
        </w:tc>
        <w:tc>
          <w:tcPr>
            <w:tcW w:w="1021" w:type="pct"/>
            <w:shd w:val="clear" w:color="auto" w:fill="auto"/>
            <w:vAlign w:val="center"/>
          </w:tcPr>
          <w:p w14:paraId="0CF83115" w14:textId="77777777" w:rsidR="00F1663A" w:rsidRPr="00F1663A" w:rsidRDefault="00F1663A" w:rsidP="00F1663A">
            <w:pPr>
              <w:pStyle w:val="SDMTableBoxParaNotNumbered"/>
              <w:jc w:val="right"/>
            </w:pPr>
            <w:r w:rsidRPr="00F1663A">
              <w:rPr>
                <w:rFonts w:cs="Arial"/>
              </w:rPr>
              <w:t xml:space="preserve">            -    </w:t>
            </w:r>
          </w:p>
        </w:tc>
        <w:tc>
          <w:tcPr>
            <w:tcW w:w="1046" w:type="pct"/>
            <w:shd w:val="clear" w:color="auto" w:fill="auto"/>
            <w:vAlign w:val="center"/>
          </w:tcPr>
          <w:p w14:paraId="287FB192" w14:textId="77777777" w:rsidR="00F1663A" w:rsidRPr="00F1663A" w:rsidRDefault="00F1663A" w:rsidP="00F1663A">
            <w:pPr>
              <w:pStyle w:val="SDMTableBoxParaNotNumbered"/>
              <w:jc w:val="right"/>
            </w:pPr>
            <w:r w:rsidRPr="00F1663A">
              <w:rPr>
                <w:rFonts w:cs="Arial"/>
              </w:rPr>
              <w:t xml:space="preserve">      34,851 </w:t>
            </w:r>
          </w:p>
        </w:tc>
      </w:tr>
      <w:tr w:rsidR="00F1663A" w:rsidRPr="00F1663A" w14:paraId="4D897BDB" w14:textId="77777777" w:rsidTr="00FE38F8">
        <w:trPr>
          <w:cantSplit/>
          <w:jc w:val="center"/>
        </w:trPr>
        <w:tc>
          <w:tcPr>
            <w:tcW w:w="905" w:type="pct"/>
            <w:tcBorders>
              <w:bottom w:val="single" w:sz="4" w:space="0" w:color="auto"/>
            </w:tcBorders>
            <w:shd w:val="clear" w:color="auto" w:fill="auto"/>
            <w:vAlign w:val="center"/>
          </w:tcPr>
          <w:p w14:paraId="3CEA3058" w14:textId="77777777" w:rsidR="00F1663A" w:rsidRPr="00F1663A" w:rsidRDefault="00F1663A" w:rsidP="00F1663A">
            <w:pPr>
              <w:pStyle w:val="SDMTableBoxParaNotNumbered"/>
            </w:pPr>
            <w:r w:rsidRPr="00F1663A">
              <w:rPr>
                <w:rFonts w:cs="Arial"/>
              </w:rPr>
              <w:t>2022</w:t>
            </w:r>
          </w:p>
        </w:tc>
        <w:tc>
          <w:tcPr>
            <w:tcW w:w="1013" w:type="pct"/>
            <w:shd w:val="clear" w:color="auto" w:fill="auto"/>
            <w:vAlign w:val="center"/>
          </w:tcPr>
          <w:p w14:paraId="7F4D8126" w14:textId="77777777" w:rsidR="00F1663A" w:rsidRPr="00F1663A" w:rsidRDefault="00F1663A" w:rsidP="00F1663A">
            <w:pPr>
              <w:pStyle w:val="SDMTableBoxParaNotNumbered"/>
              <w:jc w:val="right"/>
            </w:pPr>
            <w:r w:rsidRPr="00F1663A">
              <w:rPr>
                <w:rFonts w:cs="Arial"/>
              </w:rPr>
              <w:t xml:space="preserve">      50,230 </w:t>
            </w:r>
          </w:p>
        </w:tc>
        <w:tc>
          <w:tcPr>
            <w:tcW w:w="1015" w:type="pct"/>
            <w:shd w:val="clear" w:color="auto" w:fill="auto"/>
            <w:vAlign w:val="center"/>
          </w:tcPr>
          <w:p w14:paraId="5B607F32" w14:textId="77777777" w:rsidR="00F1663A" w:rsidRPr="00F1663A" w:rsidRDefault="00F1663A" w:rsidP="00F1663A">
            <w:pPr>
              <w:pStyle w:val="SDMTableBoxParaNotNumbered"/>
              <w:jc w:val="right"/>
            </w:pPr>
            <w:r w:rsidRPr="00F1663A">
              <w:rPr>
                <w:rFonts w:cs="Arial"/>
              </w:rPr>
              <w:t xml:space="preserve">      15,379 </w:t>
            </w:r>
          </w:p>
        </w:tc>
        <w:tc>
          <w:tcPr>
            <w:tcW w:w="1021" w:type="pct"/>
            <w:shd w:val="clear" w:color="auto" w:fill="auto"/>
            <w:vAlign w:val="center"/>
          </w:tcPr>
          <w:p w14:paraId="1FFC8CB0" w14:textId="77777777" w:rsidR="00F1663A" w:rsidRPr="00F1663A" w:rsidRDefault="00F1663A" w:rsidP="00F1663A">
            <w:pPr>
              <w:pStyle w:val="SDMTableBoxParaNotNumbered"/>
              <w:jc w:val="right"/>
            </w:pPr>
            <w:r w:rsidRPr="00F1663A">
              <w:rPr>
                <w:rFonts w:cs="Arial"/>
              </w:rPr>
              <w:t xml:space="preserve">            -    </w:t>
            </w:r>
          </w:p>
        </w:tc>
        <w:tc>
          <w:tcPr>
            <w:tcW w:w="1046" w:type="pct"/>
            <w:shd w:val="clear" w:color="auto" w:fill="auto"/>
            <w:vAlign w:val="center"/>
          </w:tcPr>
          <w:p w14:paraId="36AE0884" w14:textId="77777777" w:rsidR="00F1663A" w:rsidRPr="00F1663A" w:rsidRDefault="00F1663A" w:rsidP="00F1663A">
            <w:pPr>
              <w:pStyle w:val="SDMTableBoxParaNotNumbered"/>
              <w:jc w:val="right"/>
            </w:pPr>
            <w:r w:rsidRPr="00F1663A">
              <w:rPr>
                <w:rFonts w:cs="Arial"/>
              </w:rPr>
              <w:t xml:space="preserve">      34,851 </w:t>
            </w:r>
          </w:p>
        </w:tc>
      </w:tr>
      <w:tr w:rsidR="00F1663A" w:rsidRPr="00F1663A" w14:paraId="6B9CB036" w14:textId="77777777" w:rsidTr="00FE38F8">
        <w:trPr>
          <w:cantSplit/>
          <w:jc w:val="center"/>
        </w:trPr>
        <w:tc>
          <w:tcPr>
            <w:tcW w:w="905" w:type="pct"/>
            <w:tcBorders>
              <w:bottom w:val="single" w:sz="4" w:space="0" w:color="auto"/>
            </w:tcBorders>
            <w:shd w:val="clear" w:color="auto" w:fill="auto"/>
            <w:vAlign w:val="center"/>
          </w:tcPr>
          <w:p w14:paraId="2E615A79" w14:textId="77777777" w:rsidR="00F1663A" w:rsidRPr="00F1663A" w:rsidRDefault="00F1663A" w:rsidP="00F1663A">
            <w:pPr>
              <w:pStyle w:val="SDMTableBoxParaNotNumbered"/>
            </w:pPr>
            <w:r w:rsidRPr="00F1663A">
              <w:rPr>
                <w:rFonts w:cs="Arial"/>
              </w:rPr>
              <w:t>2023</w:t>
            </w:r>
          </w:p>
        </w:tc>
        <w:tc>
          <w:tcPr>
            <w:tcW w:w="1013" w:type="pct"/>
            <w:shd w:val="clear" w:color="auto" w:fill="auto"/>
            <w:vAlign w:val="center"/>
          </w:tcPr>
          <w:p w14:paraId="67D8AC98" w14:textId="77777777" w:rsidR="00F1663A" w:rsidRPr="00F1663A" w:rsidRDefault="00F1663A" w:rsidP="00F1663A">
            <w:pPr>
              <w:pStyle w:val="SDMTableBoxParaNotNumbered"/>
              <w:jc w:val="right"/>
              <w:rPr>
                <w:rFonts w:cs="Arial"/>
              </w:rPr>
            </w:pPr>
            <w:r w:rsidRPr="00F1663A">
              <w:rPr>
                <w:rFonts w:cs="Arial"/>
              </w:rPr>
              <w:t xml:space="preserve">      50,230 </w:t>
            </w:r>
          </w:p>
        </w:tc>
        <w:tc>
          <w:tcPr>
            <w:tcW w:w="1015" w:type="pct"/>
            <w:shd w:val="clear" w:color="auto" w:fill="auto"/>
            <w:vAlign w:val="center"/>
          </w:tcPr>
          <w:p w14:paraId="7E623ED9" w14:textId="77777777" w:rsidR="00F1663A" w:rsidRPr="00F1663A" w:rsidRDefault="00F1663A" w:rsidP="00F1663A">
            <w:pPr>
              <w:pStyle w:val="SDMTableBoxParaNotNumbered"/>
              <w:jc w:val="right"/>
              <w:rPr>
                <w:rFonts w:cs="Arial"/>
              </w:rPr>
            </w:pPr>
            <w:r w:rsidRPr="00F1663A">
              <w:rPr>
                <w:rFonts w:cs="Arial"/>
              </w:rPr>
              <w:t xml:space="preserve">      15,379 </w:t>
            </w:r>
          </w:p>
        </w:tc>
        <w:tc>
          <w:tcPr>
            <w:tcW w:w="1021" w:type="pct"/>
            <w:shd w:val="clear" w:color="auto" w:fill="auto"/>
            <w:vAlign w:val="center"/>
          </w:tcPr>
          <w:p w14:paraId="1A11FFCC" w14:textId="77777777" w:rsidR="00F1663A" w:rsidRPr="00F1663A" w:rsidRDefault="00F1663A" w:rsidP="00F1663A">
            <w:pPr>
              <w:pStyle w:val="SDMTableBoxParaNotNumbered"/>
              <w:jc w:val="right"/>
            </w:pPr>
            <w:r w:rsidRPr="00F1663A">
              <w:rPr>
                <w:rFonts w:cs="Arial"/>
              </w:rPr>
              <w:t xml:space="preserve">            -    </w:t>
            </w:r>
          </w:p>
        </w:tc>
        <w:tc>
          <w:tcPr>
            <w:tcW w:w="1046" w:type="pct"/>
            <w:shd w:val="clear" w:color="auto" w:fill="auto"/>
            <w:vAlign w:val="center"/>
          </w:tcPr>
          <w:p w14:paraId="3F8EFD6A" w14:textId="77777777" w:rsidR="00F1663A" w:rsidRPr="00F1663A" w:rsidRDefault="00F1663A" w:rsidP="00F1663A">
            <w:pPr>
              <w:pStyle w:val="SDMTableBoxParaNotNumbered"/>
              <w:jc w:val="right"/>
              <w:rPr>
                <w:rFonts w:cs="Arial"/>
              </w:rPr>
            </w:pPr>
            <w:r w:rsidRPr="00F1663A">
              <w:rPr>
                <w:rFonts w:cs="Arial"/>
              </w:rPr>
              <w:t xml:space="preserve">      34,851 </w:t>
            </w:r>
          </w:p>
        </w:tc>
      </w:tr>
      <w:tr w:rsidR="00F1663A" w:rsidRPr="00F1663A" w14:paraId="08627BE9" w14:textId="77777777" w:rsidTr="00FE38F8">
        <w:trPr>
          <w:cantSplit/>
          <w:jc w:val="center"/>
        </w:trPr>
        <w:tc>
          <w:tcPr>
            <w:tcW w:w="905" w:type="pct"/>
            <w:shd w:val="clear" w:color="auto" w:fill="D9D9D9"/>
          </w:tcPr>
          <w:p w14:paraId="7520E640" w14:textId="77777777" w:rsidR="00F1663A" w:rsidRPr="00F1663A" w:rsidRDefault="00F1663A" w:rsidP="00F1663A">
            <w:pPr>
              <w:pStyle w:val="SDMTableBoxParaNotNumbered"/>
            </w:pPr>
            <w:r w:rsidRPr="00F1663A">
              <w:t>Total</w:t>
            </w:r>
          </w:p>
        </w:tc>
        <w:tc>
          <w:tcPr>
            <w:tcW w:w="1013" w:type="pct"/>
            <w:shd w:val="clear" w:color="auto" w:fill="auto"/>
            <w:vAlign w:val="center"/>
          </w:tcPr>
          <w:p w14:paraId="0A2E0EFA" w14:textId="77777777" w:rsidR="00F1663A" w:rsidRPr="00F1663A" w:rsidRDefault="00F1663A" w:rsidP="00F1663A">
            <w:pPr>
              <w:pStyle w:val="SDMTableBoxParaNotNumbered"/>
              <w:jc w:val="right"/>
            </w:pPr>
            <w:r w:rsidRPr="00F1663A">
              <w:rPr>
                <w:rFonts w:cs="Arial"/>
              </w:rPr>
              <w:t xml:space="preserve">     393,134 </w:t>
            </w:r>
          </w:p>
        </w:tc>
        <w:tc>
          <w:tcPr>
            <w:tcW w:w="1015" w:type="pct"/>
            <w:shd w:val="clear" w:color="auto" w:fill="auto"/>
            <w:vAlign w:val="center"/>
          </w:tcPr>
          <w:p w14:paraId="24014BB0" w14:textId="77777777" w:rsidR="00F1663A" w:rsidRPr="00F1663A" w:rsidRDefault="00F1663A" w:rsidP="00F1663A">
            <w:pPr>
              <w:pStyle w:val="SDMTableBoxParaNotNumbered"/>
              <w:jc w:val="right"/>
            </w:pPr>
            <w:r w:rsidRPr="00F1663A">
              <w:rPr>
                <w:rFonts w:cs="Arial"/>
              </w:rPr>
              <w:t xml:space="preserve">     120,370 </w:t>
            </w:r>
          </w:p>
        </w:tc>
        <w:tc>
          <w:tcPr>
            <w:tcW w:w="1021" w:type="pct"/>
            <w:shd w:val="clear" w:color="auto" w:fill="auto"/>
            <w:vAlign w:val="center"/>
          </w:tcPr>
          <w:p w14:paraId="60C1619F" w14:textId="77777777" w:rsidR="00F1663A" w:rsidRPr="00F1663A" w:rsidRDefault="00F1663A" w:rsidP="00F1663A">
            <w:pPr>
              <w:pStyle w:val="SDMTableBoxParaNotNumbered"/>
              <w:jc w:val="right"/>
            </w:pPr>
            <w:r w:rsidRPr="00F1663A">
              <w:rPr>
                <w:rFonts w:cs="Arial"/>
              </w:rPr>
              <w:t xml:space="preserve">            -    </w:t>
            </w:r>
          </w:p>
        </w:tc>
        <w:tc>
          <w:tcPr>
            <w:tcW w:w="1046" w:type="pct"/>
            <w:shd w:val="clear" w:color="auto" w:fill="auto"/>
            <w:vAlign w:val="center"/>
          </w:tcPr>
          <w:p w14:paraId="75CB03EC" w14:textId="77777777" w:rsidR="00F1663A" w:rsidRPr="00F1663A" w:rsidRDefault="00F1663A" w:rsidP="00F1663A">
            <w:pPr>
              <w:pStyle w:val="SDMTableBoxParaNotNumbered"/>
              <w:jc w:val="right"/>
              <w:rPr>
                <w:b/>
              </w:rPr>
            </w:pPr>
            <w:r w:rsidRPr="00F1663A">
              <w:rPr>
                <w:rFonts w:cs="Arial"/>
                <w:b/>
                <w:bCs/>
              </w:rPr>
              <w:t xml:space="preserve">     272,764 </w:t>
            </w:r>
          </w:p>
        </w:tc>
      </w:tr>
      <w:tr w:rsidR="00C27681" w:rsidRPr="00F1663A" w14:paraId="3FFE2725" w14:textId="77777777" w:rsidTr="00102BAE">
        <w:trPr>
          <w:cantSplit/>
          <w:jc w:val="center"/>
        </w:trPr>
        <w:tc>
          <w:tcPr>
            <w:tcW w:w="905" w:type="pct"/>
            <w:shd w:val="clear" w:color="auto" w:fill="D9D9D9"/>
          </w:tcPr>
          <w:p w14:paraId="453840D5" w14:textId="77777777" w:rsidR="00C27681" w:rsidRPr="00F1663A" w:rsidRDefault="00C27681" w:rsidP="00102BAE">
            <w:pPr>
              <w:pStyle w:val="SDMTableBoxParaNotNumbered"/>
            </w:pPr>
            <w:r w:rsidRPr="00F1663A">
              <w:t>Total number of crediting years</w:t>
            </w:r>
          </w:p>
        </w:tc>
        <w:tc>
          <w:tcPr>
            <w:tcW w:w="4095" w:type="pct"/>
            <w:gridSpan w:val="4"/>
            <w:shd w:val="clear" w:color="auto" w:fill="auto"/>
          </w:tcPr>
          <w:p w14:paraId="1A1C0525" w14:textId="77777777" w:rsidR="00C27681" w:rsidRPr="00F1663A" w:rsidRDefault="00F1663A" w:rsidP="00102BAE">
            <w:pPr>
              <w:pStyle w:val="SDMTableBoxParaNotNumbered"/>
              <w:jc w:val="right"/>
            </w:pPr>
            <w:r w:rsidRPr="00F1663A">
              <w:t>7</w:t>
            </w:r>
          </w:p>
        </w:tc>
      </w:tr>
      <w:tr w:rsidR="00C27681" w:rsidRPr="004F7C48" w14:paraId="18CBA6F2" w14:textId="77777777" w:rsidTr="00102BAE">
        <w:trPr>
          <w:cantSplit/>
          <w:jc w:val="center"/>
        </w:trPr>
        <w:tc>
          <w:tcPr>
            <w:tcW w:w="905" w:type="pct"/>
            <w:shd w:val="clear" w:color="auto" w:fill="D9D9D9"/>
          </w:tcPr>
          <w:p w14:paraId="143093F4" w14:textId="77777777" w:rsidR="00C27681" w:rsidRPr="00F1663A" w:rsidRDefault="00C27681" w:rsidP="00102BAE">
            <w:pPr>
              <w:pStyle w:val="SDMTableBoxParaNotNumbered"/>
            </w:pPr>
            <w:r w:rsidRPr="00F1663A">
              <w:t xml:space="preserve">Annual average over the crediting period </w:t>
            </w:r>
          </w:p>
        </w:tc>
        <w:tc>
          <w:tcPr>
            <w:tcW w:w="3049" w:type="pct"/>
            <w:gridSpan w:val="3"/>
            <w:shd w:val="clear" w:color="auto" w:fill="auto"/>
          </w:tcPr>
          <w:p w14:paraId="26A8C57E" w14:textId="77777777" w:rsidR="00C27681" w:rsidRPr="00F1663A" w:rsidRDefault="00C27681" w:rsidP="00102BAE">
            <w:pPr>
              <w:pStyle w:val="SDMTableBoxParaNotNumbered"/>
              <w:jc w:val="right"/>
            </w:pPr>
          </w:p>
        </w:tc>
        <w:tc>
          <w:tcPr>
            <w:tcW w:w="1046" w:type="pct"/>
            <w:shd w:val="clear" w:color="auto" w:fill="auto"/>
          </w:tcPr>
          <w:p w14:paraId="33AD420C" w14:textId="77777777" w:rsidR="00C27681" w:rsidRPr="00F1663A" w:rsidRDefault="00F1663A" w:rsidP="00F1663A">
            <w:pPr>
              <w:jc w:val="right"/>
              <w:rPr>
                <w:rFonts w:cs="Arial"/>
                <w:sz w:val="20"/>
                <w:lang w:val="nl-NL" w:eastAsia="nl-NL"/>
              </w:rPr>
            </w:pPr>
            <w:r w:rsidRPr="00F1663A">
              <w:rPr>
                <w:rFonts w:cs="Arial"/>
                <w:sz w:val="20"/>
              </w:rPr>
              <w:t xml:space="preserve">      38,966</w:t>
            </w:r>
            <w:r>
              <w:rPr>
                <w:rFonts w:cs="Arial"/>
                <w:sz w:val="20"/>
              </w:rPr>
              <w:t xml:space="preserve"> </w:t>
            </w:r>
          </w:p>
        </w:tc>
      </w:tr>
    </w:tbl>
    <w:p w14:paraId="57D04A8F" w14:textId="77777777" w:rsidR="00C27681" w:rsidRPr="00C27681" w:rsidRDefault="00C27681" w:rsidP="00C27681">
      <w:pPr>
        <w:pStyle w:val="SDMPDDPoASubSection1"/>
        <w:rPr>
          <w:b w:val="0"/>
        </w:rPr>
      </w:pPr>
    </w:p>
    <w:p w14:paraId="6CC93613" w14:textId="77777777" w:rsidR="003973F5" w:rsidRDefault="00F779BB" w:rsidP="001E0142">
      <w:pPr>
        <w:pStyle w:val="SDMPDDPoASubSection1"/>
        <w:numPr>
          <w:ilvl w:val="1"/>
          <w:numId w:val="30"/>
        </w:numPr>
      </w:pPr>
      <w:r>
        <w:t>M</w:t>
      </w:r>
      <w:r w:rsidR="000978C2" w:rsidRPr="000C7CA3">
        <w:t>onitoring plan</w:t>
      </w:r>
    </w:p>
    <w:p w14:paraId="7E2C66D7" w14:textId="77777777" w:rsidR="003750E0" w:rsidRDefault="00AC4EAD" w:rsidP="003750E0">
      <w:pPr>
        <w:rPr>
          <w:rFonts w:cs="Arial"/>
        </w:rPr>
      </w:pPr>
      <w:r>
        <w:rPr>
          <w:rFonts w:cs="Arial"/>
        </w:rPr>
        <w:t xml:space="preserve"> </w:t>
      </w:r>
    </w:p>
    <w:p w14:paraId="087254B3" w14:textId="77777777" w:rsidR="000978C2" w:rsidRPr="000C7CA3" w:rsidRDefault="000978C2" w:rsidP="001E0142">
      <w:pPr>
        <w:pStyle w:val="SDMPDDPoASubSection1"/>
        <w:numPr>
          <w:ilvl w:val="2"/>
          <w:numId w:val="30"/>
        </w:numPr>
      </w:pPr>
      <w:bookmarkStart w:id="18" w:name="_Ref316978087"/>
      <w:r w:rsidRPr="000C7CA3">
        <w:t>Data and parameters to be monitored</w:t>
      </w:r>
      <w:bookmarkEnd w:id="18"/>
    </w:p>
    <w:p w14:paraId="2527FD9E" w14:textId="77777777" w:rsidR="000978C2" w:rsidRPr="000C7CA3" w:rsidRDefault="000978C2" w:rsidP="00913BF9">
      <w:pPr>
        <w:pStyle w:val="SDMPDDPoACaption"/>
        <w:spacing w:before="120" w:after="60"/>
        <w:ind w:left="1247"/>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0978C2" w:rsidRPr="000C7CA3" w14:paraId="5537553E" w14:textId="77777777" w:rsidTr="003D6267">
        <w:trPr>
          <w:cantSplit/>
          <w:jc w:val="center"/>
        </w:trPr>
        <w:tc>
          <w:tcPr>
            <w:tcW w:w="2696" w:type="dxa"/>
            <w:shd w:val="clear" w:color="auto" w:fill="D9D9D9"/>
            <w:tcMar>
              <w:top w:w="28" w:type="dxa"/>
              <w:left w:w="57" w:type="dxa"/>
              <w:bottom w:w="28" w:type="dxa"/>
              <w:right w:w="57" w:type="dxa"/>
            </w:tcMar>
            <w:vAlign w:val="center"/>
          </w:tcPr>
          <w:p w14:paraId="0A395EC8" w14:textId="77777777" w:rsidR="000978C2" w:rsidRPr="00A76316" w:rsidRDefault="000978C2" w:rsidP="00913BF9">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55F5E3F7" w14:textId="77777777" w:rsidR="000978C2" w:rsidRPr="003E0E9E" w:rsidRDefault="003E0E9E" w:rsidP="00913BF9">
            <w:pPr>
              <w:rPr>
                <w:sz w:val="20"/>
              </w:rPr>
            </w:pPr>
            <w:r w:rsidRPr="003E0E9E">
              <w:rPr>
                <w:b/>
                <w:bCs/>
                <w:sz w:val="20"/>
              </w:rPr>
              <w:t>U</w:t>
            </w:r>
            <w:r w:rsidRPr="003E0E9E">
              <w:rPr>
                <w:b/>
                <w:bCs/>
                <w:sz w:val="20"/>
                <w:vertAlign w:val="subscript"/>
              </w:rPr>
              <w:t>p1,y</w:t>
            </w:r>
          </w:p>
        </w:tc>
      </w:tr>
      <w:tr w:rsidR="000978C2" w:rsidRPr="000C7CA3" w14:paraId="6458C446" w14:textId="77777777" w:rsidTr="003D6267">
        <w:trPr>
          <w:cantSplit/>
          <w:jc w:val="center"/>
        </w:trPr>
        <w:tc>
          <w:tcPr>
            <w:tcW w:w="2696" w:type="dxa"/>
            <w:shd w:val="clear" w:color="auto" w:fill="D9D9D9"/>
            <w:tcMar>
              <w:top w:w="28" w:type="dxa"/>
              <w:left w:w="57" w:type="dxa"/>
              <w:bottom w:w="28" w:type="dxa"/>
              <w:right w:w="57" w:type="dxa"/>
            </w:tcMar>
            <w:vAlign w:val="center"/>
          </w:tcPr>
          <w:p w14:paraId="46CE158C" w14:textId="77777777" w:rsidR="000978C2" w:rsidRPr="00D118BA" w:rsidRDefault="006F20FE" w:rsidP="00913BF9">
            <w:pPr>
              <w:rPr>
                <w:sz w:val="20"/>
              </w:rPr>
            </w:pPr>
            <w:r>
              <w:rPr>
                <w:sz w:val="20"/>
              </w:rPr>
              <w:t>Data u</w:t>
            </w:r>
            <w:r w:rsidR="000978C2" w:rsidRPr="00D118BA">
              <w:rPr>
                <w:sz w:val="20"/>
              </w:rPr>
              <w:t>nit</w:t>
            </w:r>
          </w:p>
        </w:tc>
        <w:tc>
          <w:tcPr>
            <w:tcW w:w="6933" w:type="dxa"/>
            <w:shd w:val="clear" w:color="auto" w:fill="auto"/>
            <w:tcMar>
              <w:top w:w="28" w:type="dxa"/>
              <w:left w:w="57" w:type="dxa"/>
              <w:bottom w:w="28" w:type="dxa"/>
              <w:right w:w="57" w:type="dxa"/>
            </w:tcMar>
            <w:vAlign w:val="center"/>
          </w:tcPr>
          <w:p w14:paraId="6B1D7685" w14:textId="77777777" w:rsidR="000978C2" w:rsidRPr="003E0E9E" w:rsidRDefault="003E0E9E" w:rsidP="00913BF9">
            <w:pPr>
              <w:rPr>
                <w:sz w:val="20"/>
              </w:rPr>
            </w:pPr>
            <w:r w:rsidRPr="003E0E9E">
              <w:rPr>
                <w:bCs/>
                <w:sz w:val="20"/>
              </w:rPr>
              <w:t>Fraction</w:t>
            </w:r>
          </w:p>
        </w:tc>
      </w:tr>
      <w:tr w:rsidR="000978C2" w:rsidRPr="000C7CA3" w14:paraId="7CCC15C8" w14:textId="77777777" w:rsidTr="003D6267">
        <w:trPr>
          <w:cantSplit/>
          <w:jc w:val="center"/>
        </w:trPr>
        <w:tc>
          <w:tcPr>
            <w:tcW w:w="2696" w:type="dxa"/>
            <w:shd w:val="clear" w:color="auto" w:fill="D9D9D9"/>
            <w:tcMar>
              <w:top w:w="28" w:type="dxa"/>
              <w:left w:w="57" w:type="dxa"/>
              <w:bottom w:w="28" w:type="dxa"/>
              <w:right w:w="57" w:type="dxa"/>
            </w:tcMar>
            <w:vAlign w:val="center"/>
          </w:tcPr>
          <w:p w14:paraId="3C6EAA4A" w14:textId="77777777" w:rsidR="000978C2" w:rsidRPr="00D118BA" w:rsidRDefault="000978C2" w:rsidP="00913BF9">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7C87B232" w14:textId="77777777" w:rsidR="000978C2" w:rsidRPr="003E0E9E" w:rsidRDefault="003E0E9E" w:rsidP="00913BF9">
            <w:pPr>
              <w:rPr>
                <w:sz w:val="20"/>
              </w:rPr>
            </w:pPr>
            <w:r w:rsidRPr="003E0E9E">
              <w:rPr>
                <w:bCs/>
                <w:sz w:val="20"/>
              </w:rPr>
              <w:t>Cumulative usage rate for technologies in project scenario p1 in year y, based on cumulative adoption rate and drop off rate (fraction)</w:t>
            </w:r>
          </w:p>
        </w:tc>
      </w:tr>
      <w:tr w:rsidR="000978C2" w:rsidRPr="000C7CA3" w14:paraId="2F890CEA" w14:textId="77777777" w:rsidTr="003D6267">
        <w:trPr>
          <w:cantSplit/>
          <w:jc w:val="center"/>
        </w:trPr>
        <w:tc>
          <w:tcPr>
            <w:tcW w:w="2696" w:type="dxa"/>
            <w:shd w:val="clear" w:color="auto" w:fill="D9D9D9"/>
            <w:tcMar>
              <w:top w:w="28" w:type="dxa"/>
              <w:left w:w="57" w:type="dxa"/>
              <w:bottom w:w="28" w:type="dxa"/>
              <w:right w:w="57" w:type="dxa"/>
            </w:tcMar>
            <w:vAlign w:val="center"/>
          </w:tcPr>
          <w:p w14:paraId="3C6C8FF8" w14:textId="77777777" w:rsidR="000978C2" w:rsidRPr="00D118BA" w:rsidRDefault="000978C2" w:rsidP="00913BF9">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2BDBEFBE" w14:textId="77777777" w:rsidR="000978C2" w:rsidRPr="003E0E9E" w:rsidRDefault="003E0E9E" w:rsidP="006A3B18">
            <w:pPr>
              <w:rPr>
                <w:sz w:val="20"/>
              </w:rPr>
            </w:pPr>
            <w:r w:rsidRPr="003E0E9E">
              <w:rPr>
                <w:bCs/>
                <w:sz w:val="20"/>
              </w:rPr>
              <w:t xml:space="preserve">Collected through the annual </w:t>
            </w:r>
            <w:r w:rsidR="006A3B18">
              <w:rPr>
                <w:bCs/>
                <w:sz w:val="20"/>
              </w:rPr>
              <w:t>Monitoring</w:t>
            </w:r>
            <w:r w:rsidRPr="003E0E9E">
              <w:rPr>
                <w:bCs/>
                <w:sz w:val="20"/>
              </w:rPr>
              <w:t xml:space="preserve"> Survey.</w:t>
            </w:r>
          </w:p>
        </w:tc>
      </w:tr>
      <w:tr w:rsidR="000978C2" w:rsidRPr="000C7CA3" w14:paraId="30524D66" w14:textId="77777777" w:rsidTr="003D6267">
        <w:trPr>
          <w:cantSplit/>
          <w:jc w:val="center"/>
        </w:trPr>
        <w:tc>
          <w:tcPr>
            <w:tcW w:w="2696" w:type="dxa"/>
            <w:shd w:val="clear" w:color="auto" w:fill="D9D9D9"/>
            <w:tcMar>
              <w:top w:w="28" w:type="dxa"/>
              <w:left w:w="57" w:type="dxa"/>
              <w:bottom w:w="28" w:type="dxa"/>
              <w:right w:w="57" w:type="dxa"/>
            </w:tcMar>
            <w:vAlign w:val="center"/>
          </w:tcPr>
          <w:p w14:paraId="37C12C06" w14:textId="77777777" w:rsidR="000978C2" w:rsidRPr="00D118BA" w:rsidRDefault="000978C2" w:rsidP="00913BF9">
            <w:pPr>
              <w:rPr>
                <w:sz w:val="20"/>
              </w:rPr>
            </w:pPr>
            <w:r w:rsidRPr="00D118BA">
              <w:rPr>
                <w:rFonts w:hint="eastAsia"/>
                <w:sz w:val="20"/>
              </w:rPr>
              <w:lastRenderedPageBreak/>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08C2B2CE" w14:textId="77777777" w:rsidR="000978C2" w:rsidRPr="003E0E9E" w:rsidRDefault="003E0E9E" w:rsidP="00913BF9">
            <w:pPr>
              <w:rPr>
                <w:sz w:val="20"/>
              </w:rPr>
            </w:pPr>
            <w:r w:rsidRPr="003E0E9E">
              <w:rPr>
                <w:sz w:val="20"/>
              </w:rPr>
              <w:t>1</w:t>
            </w:r>
          </w:p>
        </w:tc>
      </w:tr>
      <w:tr w:rsidR="000978C2" w:rsidRPr="000C7CA3" w14:paraId="473C21CF" w14:textId="77777777" w:rsidTr="003D6267">
        <w:trPr>
          <w:cantSplit/>
          <w:jc w:val="center"/>
        </w:trPr>
        <w:tc>
          <w:tcPr>
            <w:tcW w:w="2696" w:type="dxa"/>
            <w:shd w:val="clear" w:color="auto" w:fill="D9D9D9"/>
            <w:tcMar>
              <w:top w:w="28" w:type="dxa"/>
              <w:left w:w="57" w:type="dxa"/>
              <w:bottom w:w="28" w:type="dxa"/>
              <w:right w:w="57" w:type="dxa"/>
            </w:tcMar>
            <w:vAlign w:val="center"/>
          </w:tcPr>
          <w:p w14:paraId="606FFD3F" w14:textId="77777777" w:rsidR="000978C2" w:rsidRPr="00D118BA" w:rsidRDefault="000978C2" w:rsidP="00581FDC">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435346C2" w14:textId="77777777" w:rsidR="003E0E9E" w:rsidRPr="003E0E9E" w:rsidRDefault="003E0E9E" w:rsidP="003E0E9E">
            <w:pPr>
              <w:pStyle w:val="SDMTableBoxParaNotNumbered"/>
              <w:rPr>
                <w:bCs/>
              </w:rPr>
            </w:pPr>
            <w:r w:rsidRPr="003E0E9E">
              <w:rPr>
                <w:bCs/>
              </w:rPr>
              <w:t xml:space="preserve">An assessment of the drop-off rate of usage requires that digesters of different age groups are assessed. Monitoring shall be carried out on a random sample of digesters of different ages. The minimum total sample size is 100, with at least 30 samples for biogas digesters of each age bracket (measured in annual increments) being surveyed. </w:t>
            </w:r>
          </w:p>
          <w:p w14:paraId="6CCE5764" w14:textId="77777777" w:rsidR="003E0E9E" w:rsidRPr="003E0E9E" w:rsidRDefault="003E0E9E" w:rsidP="003E0E9E">
            <w:pPr>
              <w:pStyle w:val="SDMTableBoxParaNotNumbered"/>
              <w:rPr>
                <w:bCs/>
              </w:rPr>
            </w:pPr>
          </w:p>
          <w:p w14:paraId="42FB8C24" w14:textId="77777777" w:rsidR="000978C2" w:rsidRPr="003E0E9E" w:rsidRDefault="003E0E9E" w:rsidP="003E0E9E">
            <w:pPr>
              <w:rPr>
                <w:sz w:val="20"/>
              </w:rPr>
            </w:pPr>
            <w:r w:rsidRPr="003E0E9E">
              <w:rPr>
                <w:bCs/>
                <w:sz w:val="20"/>
              </w:rPr>
              <w:t>The usage rate of thermal applications will be monitored annually using survey methods to satisfy the requirements put forth by the methodology ‘Technologies and practices to displace decentralized thermal energy consumption’ V. 1</w:t>
            </w:r>
          </w:p>
        </w:tc>
      </w:tr>
      <w:tr w:rsidR="000978C2" w:rsidRPr="000C7CA3" w14:paraId="127F2CD9" w14:textId="77777777" w:rsidTr="003D6267">
        <w:trPr>
          <w:cantSplit/>
          <w:jc w:val="center"/>
        </w:trPr>
        <w:tc>
          <w:tcPr>
            <w:tcW w:w="2696" w:type="dxa"/>
            <w:shd w:val="clear" w:color="auto" w:fill="D9D9D9"/>
            <w:tcMar>
              <w:top w:w="28" w:type="dxa"/>
              <w:left w:w="57" w:type="dxa"/>
              <w:bottom w:w="28" w:type="dxa"/>
              <w:right w:w="57" w:type="dxa"/>
            </w:tcMar>
            <w:vAlign w:val="center"/>
          </w:tcPr>
          <w:p w14:paraId="68E9EF25" w14:textId="77777777" w:rsidR="000978C2" w:rsidRPr="00D118BA" w:rsidRDefault="000978C2" w:rsidP="00913BF9">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71883C53" w14:textId="77777777" w:rsidR="000978C2" w:rsidRPr="003E0E9E" w:rsidRDefault="003E0E9E" w:rsidP="00913BF9">
            <w:pPr>
              <w:rPr>
                <w:sz w:val="20"/>
              </w:rPr>
            </w:pPr>
            <w:r w:rsidRPr="003E0E9E">
              <w:rPr>
                <w:sz w:val="20"/>
              </w:rPr>
              <w:t>Annual</w:t>
            </w:r>
          </w:p>
        </w:tc>
      </w:tr>
      <w:tr w:rsidR="000978C2" w:rsidRPr="000C7CA3" w14:paraId="03A66F91" w14:textId="77777777" w:rsidTr="003D6267">
        <w:trPr>
          <w:cantSplit/>
          <w:jc w:val="center"/>
        </w:trPr>
        <w:tc>
          <w:tcPr>
            <w:tcW w:w="2696" w:type="dxa"/>
            <w:shd w:val="clear" w:color="auto" w:fill="D9D9D9"/>
            <w:tcMar>
              <w:top w:w="28" w:type="dxa"/>
              <w:left w:w="57" w:type="dxa"/>
              <w:bottom w:w="28" w:type="dxa"/>
              <w:right w:w="57" w:type="dxa"/>
            </w:tcMar>
            <w:vAlign w:val="center"/>
          </w:tcPr>
          <w:p w14:paraId="33E83B80" w14:textId="77777777" w:rsidR="000978C2" w:rsidRPr="00D118BA" w:rsidRDefault="000978C2" w:rsidP="00913BF9">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6F3F7FF4" w14:textId="77777777" w:rsidR="003E0E9E" w:rsidRPr="003E0E9E" w:rsidRDefault="003E0E9E" w:rsidP="003E0E9E">
            <w:pPr>
              <w:pStyle w:val="SDMTableBoxParaNotNumbered"/>
              <w:rPr>
                <w:bCs/>
              </w:rPr>
            </w:pPr>
            <w:r w:rsidRPr="003E0E9E">
              <w:rPr>
                <w:bCs/>
              </w:rPr>
              <w:t>To account for void responses and lack of availability of some households on the day of the survey, additional households within each age group should be questioned.</w:t>
            </w:r>
          </w:p>
          <w:p w14:paraId="721CA767" w14:textId="77777777" w:rsidR="003E0E9E" w:rsidRPr="003E0E9E" w:rsidRDefault="003E0E9E" w:rsidP="003E0E9E">
            <w:pPr>
              <w:pStyle w:val="SDMTableBoxParaNotNumbered"/>
              <w:rPr>
                <w:bCs/>
              </w:rPr>
            </w:pPr>
          </w:p>
          <w:p w14:paraId="504F0CAF" w14:textId="77777777" w:rsidR="000978C2" w:rsidRPr="003E0E9E" w:rsidRDefault="003E0E9E" w:rsidP="003E0E9E">
            <w:pPr>
              <w:rPr>
                <w:sz w:val="20"/>
              </w:rPr>
            </w:pPr>
            <w:r w:rsidRPr="003E0E9E">
              <w:rPr>
                <w:bCs/>
                <w:sz w:val="20"/>
              </w:rPr>
              <w:t>To ensure conservativeness, participants in a usage survey with technologies in the first year of use (age 0-1) must have technologies that have been in use on average longer than 0.5 years. For technologies in the second year of use (age 1-2), the usage survey must be conducted with technologies that have been in use on average at least 1.5 years, and so on.</w:t>
            </w:r>
          </w:p>
        </w:tc>
      </w:tr>
      <w:tr w:rsidR="000978C2" w:rsidRPr="000C7CA3" w14:paraId="426ED913" w14:textId="77777777" w:rsidTr="003D6267">
        <w:trPr>
          <w:cantSplit/>
          <w:jc w:val="center"/>
        </w:trPr>
        <w:tc>
          <w:tcPr>
            <w:tcW w:w="2696" w:type="dxa"/>
            <w:shd w:val="clear" w:color="auto" w:fill="D9D9D9"/>
            <w:tcMar>
              <w:top w:w="28" w:type="dxa"/>
              <w:left w:w="57" w:type="dxa"/>
              <w:bottom w:w="28" w:type="dxa"/>
              <w:right w:w="57" w:type="dxa"/>
            </w:tcMar>
            <w:vAlign w:val="center"/>
          </w:tcPr>
          <w:p w14:paraId="2312C6EC" w14:textId="77777777" w:rsidR="000978C2" w:rsidRPr="00D118BA" w:rsidRDefault="000978C2" w:rsidP="00913BF9">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22661CE2" w14:textId="77777777" w:rsidR="000978C2" w:rsidRPr="003E0E9E" w:rsidRDefault="003E0E9E" w:rsidP="00913BF9">
            <w:pPr>
              <w:rPr>
                <w:sz w:val="20"/>
              </w:rPr>
            </w:pPr>
            <w:r w:rsidRPr="003E0E9E">
              <w:rPr>
                <w:bCs/>
                <w:sz w:val="20"/>
              </w:rPr>
              <w:t>Calculation of project emissions</w:t>
            </w:r>
          </w:p>
        </w:tc>
      </w:tr>
      <w:tr w:rsidR="000978C2" w:rsidRPr="000C7CA3" w14:paraId="481860F2" w14:textId="77777777" w:rsidTr="003D6267">
        <w:trPr>
          <w:cantSplit/>
          <w:jc w:val="center"/>
        </w:trPr>
        <w:tc>
          <w:tcPr>
            <w:tcW w:w="2696" w:type="dxa"/>
            <w:shd w:val="clear" w:color="auto" w:fill="D9D9D9"/>
            <w:tcMar>
              <w:top w:w="28" w:type="dxa"/>
              <w:left w:w="57" w:type="dxa"/>
              <w:bottom w:w="28" w:type="dxa"/>
              <w:right w:w="57" w:type="dxa"/>
            </w:tcMar>
            <w:vAlign w:val="center"/>
          </w:tcPr>
          <w:p w14:paraId="318A98FA" w14:textId="77777777" w:rsidR="000978C2" w:rsidRPr="00D118BA" w:rsidRDefault="000978C2" w:rsidP="00913BF9">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2D1B77F4" w14:textId="77777777" w:rsidR="003E0E9E" w:rsidRPr="003E0E9E" w:rsidRDefault="003E0E9E" w:rsidP="003E0E9E">
            <w:pPr>
              <w:pStyle w:val="SDMTableBoxParaNotNumbered"/>
              <w:jc w:val="both"/>
            </w:pPr>
            <w:r w:rsidRPr="003E0E9E">
              <w:rPr>
                <w:bCs/>
                <w:lang w:val="en-US"/>
              </w:rPr>
              <w:t>A single usage parameter is weighted to be representative of the quantity of project technologies of each age being credited in a given project scenario.</w:t>
            </w:r>
          </w:p>
          <w:p w14:paraId="11D589E9" w14:textId="77777777" w:rsidR="000978C2" w:rsidRPr="003E0E9E" w:rsidRDefault="000978C2" w:rsidP="00913BF9">
            <w:pPr>
              <w:rPr>
                <w:sz w:val="20"/>
              </w:rPr>
            </w:pPr>
          </w:p>
        </w:tc>
      </w:tr>
    </w:tbl>
    <w:p w14:paraId="6A4C11AF" w14:textId="77777777" w:rsidR="003E0E9E" w:rsidRDefault="003E0E9E"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3E0E9E" w:rsidRPr="000C7CA3" w14:paraId="67464E4E" w14:textId="77777777" w:rsidTr="003E0E9E">
        <w:trPr>
          <w:cantSplit/>
          <w:jc w:val="center"/>
        </w:trPr>
        <w:tc>
          <w:tcPr>
            <w:tcW w:w="2696" w:type="dxa"/>
            <w:shd w:val="clear" w:color="auto" w:fill="D9D9D9"/>
            <w:tcMar>
              <w:top w:w="28" w:type="dxa"/>
              <w:left w:w="57" w:type="dxa"/>
              <w:bottom w:w="28" w:type="dxa"/>
              <w:right w:w="57" w:type="dxa"/>
            </w:tcMar>
            <w:vAlign w:val="center"/>
          </w:tcPr>
          <w:p w14:paraId="034F4463" w14:textId="77777777" w:rsidR="003E0E9E" w:rsidRPr="00A76316" w:rsidRDefault="003E0E9E" w:rsidP="003E0E9E">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12FF4D54" w14:textId="77777777" w:rsidR="003E0E9E" w:rsidRPr="003E0E9E" w:rsidRDefault="003E0E9E" w:rsidP="003E0E9E">
            <w:pPr>
              <w:rPr>
                <w:sz w:val="20"/>
              </w:rPr>
            </w:pPr>
            <w:r w:rsidRPr="003E0E9E">
              <w:rPr>
                <w:b/>
                <w:bCs/>
                <w:sz w:val="20"/>
              </w:rPr>
              <w:t>N</w:t>
            </w:r>
            <w:r w:rsidRPr="003E0E9E">
              <w:rPr>
                <w:b/>
                <w:bCs/>
                <w:sz w:val="20"/>
                <w:vertAlign w:val="subscript"/>
              </w:rPr>
              <w:t>p1,y</w:t>
            </w:r>
          </w:p>
        </w:tc>
      </w:tr>
      <w:tr w:rsidR="003E0E9E" w:rsidRPr="000C7CA3" w14:paraId="0EB1459E" w14:textId="77777777" w:rsidTr="003E0E9E">
        <w:trPr>
          <w:cantSplit/>
          <w:jc w:val="center"/>
        </w:trPr>
        <w:tc>
          <w:tcPr>
            <w:tcW w:w="2696" w:type="dxa"/>
            <w:shd w:val="clear" w:color="auto" w:fill="D9D9D9"/>
            <w:tcMar>
              <w:top w:w="28" w:type="dxa"/>
              <w:left w:w="57" w:type="dxa"/>
              <w:bottom w:w="28" w:type="dxa"/>
              <w:right w:w="57" w:type="dxa"/>
            </w:tcMar>
            <w:vAlign w:val="center"/>
          </w:tcPr>
          <w:p w14:paraId="0F36FF6C" w14:textId="77777777" w:rsidR="003E0E9E" w:rsidRPr="00D118BA" w:rsidRDefault="003E0E9E" w:rsidP="003E0E9E">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4BF19A17" w14:textId="77777777" w:rsidR="003E0E9E" w:rsidRPr="003E0E9E" w:rsidRDefault="003E0E9E" w:rsidP="003E0E9E">
            <w:pPr>
              <w:rPr>
                <w:sz w:val="20"/>
              </w:rPr>
            </w:pPr>
            <w:r w:rsidRPr="003E0E9E">
              <w:rPr>
                <w:bCs/>
                <w:sz w:val="20"/>
              </w:rPr>
              <w:t>Number</w:t>
            </w:r>
          </w:p>
        </w:tc>
      </w:tr>
      <w:tr w:rsidR="003E0E9E" w:rsidRPr="000C7CA3" w14:paraId="0E817D0D" w14:textId="77777777" w:rsidTr="003E0E9E">
        <w:trPr>
          <w:cantSplit/>
          <w:jc w:val="center"/>
        </w:trPr>
        <w:tc>
          <w:tcPr>
            <w:tcW w:w="2696" w:type="dxa"/>
            <w:shd w:val="clear" w:color="auto" w:fill="D9D9D9"/>
            <w:tcMar>
              <w:top w:w="28" w:type="dxa"/>
              <w:left w:w="57" w:type="dxa"/>
              <w:bottom w:w="28" w:type="dxa"/>
              <w:right w:w="57" w:type="dxa"/>
            </w:tcMar>
            <w:vAlign w:val="center"/>
          </w:tcPr>
          <w:p w14:paraId="41C86908" w14:textId="77777777" w:rsidR="003E0E9E" w:rsidRPr="00D118BA" w:rsidRDefault="003E0E9E" w:rsidP="003E0E9E">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40723F4F" w14:textId="77777777" w:rsidR="003E0E9E" w:rsidRPr="003E0E9E" w:rsidRDefault="003E0E9E" w:rsidP="003E0E9E">
            <w:pPr>
              <w:pStyle w:val="SDMTableBoxParaNotNumbered"/>
              <w:rPr>
                <w:bCs/>
                <w:lang w:val="en-US"/>
              </w:rPr>
            </w:pPr>
            <w:r w:rsidRPr="003E0E9E">
              <w:rPr>
                <w:bCs/>
                <w:lang w:val="en-US"/>
              </w:rPr>
              <w:t>Cumulative number of project technology-days included in the project</w:t>
            </w:r>
          </w:p>
          <w:p w14:paraId="79F386A6" w14:textId="77777777" w:rsidR="003E0E9E" w:rsidRPr="003E0E9E" w:rsidRDefault="003E0E9E" w:rsidP="003E0E9E">
            <w:pPr>
              <w:rPr>
                <w:sz w:val="20"/>
              </w:rPr>
            </w:pPr>
            <w:r w:rsidRPr="003E0E9E">
              <w:rPr>
                <w:bCs/>
                <w:sz w:val="20"/>
                <w:lang w:val="en-US"/>
              </w:rPr>
              <w:t>database for project scenario p1 against baseline scenario b in year y</w:t>
            </w:r>
          </w:p>
        </w:tc>
      </w:tr>
      <w:tr w:rsidR="003E0E9E" w:rsidRPr="000C7CA3" w14:paraId="57E49042" w14:textId="77777777" w:rsidTr="003E0E9E">
        <w:trPr>
          <w:cantSplit/>
          <w:jc w:val="center"/>
        </w:trPr>
        <w:tc>
          <w:tcPr>
            <w:tcW w:w="2696" w:type="dxa"/>
            <w:shd w:val="clear" w:color="auto" w:fill="D9D9D9"/>
            <w:tcMar>
              <w:top w:w="28" w:type="dxa"/>
              <w:left w:w="57" w:type="dxa"/>
              <w:bottom w:w="28" w:type="dxa"/>
              <w:right w:w="57" w:type="dxa"/>
            </w:tcMar>
            <w:vAlign w:val="center"/>
          </w:tcPr>
          <w:p w14:paraId="18A7212F" w14:textId="77777777" w:rsidR="003E0E9E" w:rsidRPr="00D118BA" w:rsidRDefault="003E0E9E" w:rsidP="003E0E9E">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5EB0CA29" w14:textId="77777777" w:rsidR="003E0E9E" w:rsidRPr="003E0E9E" w:rsidRDefault="003E0E9E" w:rsidP="003E0E9E">
            <w:pPr>
              <w:pStyle w:val="SDMTableBoxParaNotNumbered"/>
              <w:jc w:val="both"/>
            </w:pPr>
            <w:r w:rsidRPr="003E0E9E">
              <w:rPr>
                <w:bCs/>
                <w:lang w:val="en-US"/>
              </w:rPr>
              <w:t>Total sales r</w:t>
            </w:r>
            <w:r w:rsidR="00BF66DE">
              <w:rPr>
                <w:bCs/>
                <w:lang w:val="en-US"/>
              </w:rPr>
              <w:t>ecord from the Project Database</w:t>
            </w:r>
          </w:p>
          <w:p w14:paraId="3F4868AD" w14:textId="77777777" w:rsidR="003E0E9E" w:rsidRPr="003E0E9E" w:rsidRDefault="003E0E9E" w:rsidP="003E0E9E">
            <w:pPr>
              <w:rPr>
                <w:sz w:val="20"/>
              </w:rPr>
            </w:pPr>
          </w:p>
        </w:tc>
      </w:tr>
      <w:tr w:rsidR="003E0E9E" w:rsidRPr="000C7CA3" w14:paraId="3D701972" w14:textId="77777777" w:rsidTr="003E0E9E">
        <w:trPr>
          <w:cantSplit/>
          <w:jc w:val="center"/>
        </w:trPr>
        <w:tc>
          <w:tcPr>
            <w:tcW w:w="2696" w:type="dxa"/>
            <w:shd w:val="clear" w:color="auto" w:fill="D9D9D9"/>
            <w:tcMar>
              <w:top w:w="28" w:type="dxa"/>
              <w:left w:w="57" w:type="dxa"/>
              <w:bottom w:w="28" w:type="dxa"/>
              <w:right w:w="57" w:type="dxa"/>
            </w:tcMar>
            <w:vAlign w:val="center"/>
          </w:tcPr>
          <w:p w14:paraId="767F24E4" w14:textId="77777777" w:rsidR="003E0E9E" w:rsidRPr="00D118BA" w:rsidRDefault="003E0E9E" w:rsidP="003E0E9E">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06B734C5" w14:textId="77777777" w:rsidR="003E0E9E" w:rsidRPr="003E0E9E" w:rsidRDefault="00747C9E" w:rsidP="003E0E9E">
            <w:pPr>
              <w:rPr>
                <w:sz w:val="20"/>
              </w:rPr>
            </w:pPr>
            <w:r>
              <w:rPr>
                <w:sz w:val="20"/>
              </w:rPr>
              <w:t>4,160</w:t>
            </w:r>
          </w:p>
        </w:tc>
      </w:tr>
      <w:tr w:rsidR="003E0E9E" w:rsidRPr="000C7CA3" w14:paraId="75D05B14" w14:textId="77777777" w:rsidTr="003E0E9E">
        <w:trPr>
          <w:cantSplit/>
          <w:jc w:val="center"/>
        </w:trPr>
        <w:tc>
          <w:tcPr>
            <w:tcW w:w="2696" w:type="dxa"/>
            <w:shd w:val="clear" w:color="auto" w:fill="D9D9D9"/>
            <w:tcMar>
              <w:top w:w="28" w:type="dxa"/>
              <w:left w:w="57" w:type="dxa"/>
              <w:bottom w:w="28" w:type="dxa"/>
              <w:right w:w="57" w:type="dxa"/>
            </w:tcMar>
            <w:vAlign w:val="center"/>
          </w:tcPr>
          <w:p w14:paraId="108D06E1" w14:textId="77777777" w:rsidR="003E0E9E" w:rsidRPr="00D118BA" w:rsidRDefault="003E0E9E" w:rsidP="003E0E9E">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0D4D9EC3" w14:textId="77777777" w:rsidR="003E0E9E" w:rsidRPr="003E0E9E" w:rsidRDefault="003E0E9E" w:rsidP="003E0E9E">
            <w:pPr>
              <w:rPr>
                <w:sz w:val="20"/>
              </w:rPr>
            </w:pPr>
            <w:r w:rsidRPr="003E0E9E">
              <w:rPr>
                <w:bCs/>
                <w:sz w:val="20"/>
              </w:rPr>
              <w:t>New biogas digesters included under the PoA will be entered into the Project Database as and when they come online. This will enable a running cumulative total of biogas digesters installed to be kept. The operational rate is determined on a sampling basis through annual monitoring surveys. In addition, households are required to notify provincial office staff in a situation when a biodigester stops working. This information is recorded in the Project database, allowing the identification per included biodigester the amount of operational days per year. In a scenario where the biodigester stops operating, the number of non-operational days is recorded in the database.</w:t>
            </w:r>
          </w:p>
        </w:tc>
      </w:tr>
      <w:tr w:rsidR="003E0E9E" w:rsidRPr="000C7CA3" w14:paraId="0A34A6C8" w14:textId="77777777" w:rsidTr="003E0E9E">
        <w:trPr>
          <w:cantSplit/>
          <w:jc w:val="center"/>
        </w:trPr>
        <w:tc>
          <w:tcPr>
            <w:tcW w:w="2696" w:type="dxa"/>
            <w:shd w:val="clear" w:color="auto" w:fill="D9D9D9"/>
            <w:tcMar>
              <w:top w:w="28" w:type="dxa"/>
              <w:left w:w="57" w:type="dxa"/>
              <w:bottom w:w="28" w:type="dxa"/>
              <w:right w:w="57" w:type="dxa"/>
            </w:tcMar>
            <w:vAlign w:val="center"/>
          </w:tcPr>
          <w:p w14:paraId="55430FF7" w14:textId="77777777" w:rsidR="003E0E9E" w:rsidRPr="00D118BA" w:rsidRDefault="003E0E9E" w:rsidP="003E0E9E">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08C860C2" w14:textId="77777777" w:rsidR="003E0E9E" w:rsidRPr="003E0E9E" w:rsidRDefault="003E0E9E" w:rsidP="003E0E9E">
            <w:pPr>
              <w:rPr>
                <w:sz w:val="20"/>
              </w:rPr>
            </w:pPr>
            <w:r w:rsidRPr="003E0E9E">
              <w:rPr>
                <w:bCs/>
                <w:sz w:val="20"/>
              </w:rPr>
              <w:t>Continuous</w:t>
            </w:r>
          </w:p>
        </w:tc>
      </w:tr>
      <w:tr w:rsidR="003E0E9E" w:rsidRPr="000C7CA3" w14:paraId="073E8B9A" w14:textId="77777777" w:rsidTr="003E0E9E">
        <w:trPr>
          <w:cantSplit/>
          <w:jc w:val="center"/>
        </w:trPr>
        <w:tc>
          <w:tcPr>
            <w:tcW w:w="2696" w:type="dxa"/>
            <w:shd w:val="clear" w:color="auto" w:fill="D9D9D9"/>
            <w:tcMar>
              <w:top w:w="28" w:type="dxa"/>
              <w:left w:w="57" w:type="dxa"/>
              <w:bottom w:w="28" w:type="dxa"/>
              <w:right w:w="57" w:type="dxa"/>
            </w:tcMar>
            <w:vAlign w:val="center"/>
          </w:tcPr>
          <w:p w14:paraId="20EEF1E4" w14:textId="77777777" w:rsidR="003E0E9E" w:rsidRPr="00D118BA" w:rsidRDefault="003E0E9E" w:rsidP="003E0E9E">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09C28A41" w14:textId="77777777" w:rsidR="003E0E9E" w:rsidRPr="003E0E9E" w:rsidRDefault="003E0E9E" w:rsidP="003E0E9E">
            <w:pPr>
              <w:rPr>
                <w:sz w:val="20"/>
              </w:rPr>
            </w:pPr>
            <w:r w:rsidRPr="003E0E9E">
              <w:rPr>
                <w:bCs/>
                <w:sz w:val="20"/>
              </w:rPr>
              <w:t>N</w:t>
            </w:r>
            <w:r w:rsidRPr="003E0E9E">
              <w:rPr>
                <w:bCs/>
                <w:sz w:val="20"/>
                <w:vertAlign w:val="subscript"/>
              </w:rPr>
              <w:t>p,y</w:t>
            </w:r>
            <w:r w:rsidRPr="003E0E9E">
              <w:rPr>
                <w:bCs/>
                <w:sz w:val="20"/>
              </w:rPr>
              <w:t xml:space="preserve"> shall be calculated from (a) the number of installed system (parameter No</w:t>
            </w:r>
            <w:r w:rsidRPr="003E0E9E">
              <w:rPr>
                <w:bCs/>
                <w:sz w:val="20"/>
                <w:vertAlign w:val="subscript"/>
              </w:rPr>
              <w:t>p,y</w:t>
            </w:r>
            <w:r w:rsidRPr="003E0E9E">
              <w:rPr>
                <w:bCs/>
                <w:sz w:val="20"/>
              </w:rPr>
              <w:t>); and (b) the average operational days of the system (O</w:t>
            </w:r>
            <w:r w:rsidRPr="003E0E9E">
              <w:rPr>
                <w:bCs/>
                <w:sz w:val="20"/>
                <w:vertAlign w:val="subscript"/>
              </w:rPr>
              <w:t>p,y</w:t>
            </w:r>
            <w:r w:rsidRPr="003E0E9E">
              <w:rPr>
                <w:bCs/>
                <w:sz w:val="20"/>
              </w:rPr>
              <w:t>). The equation is therefore (N</w:t>
            </w:r>
            <w:r w:rsidRPr="003E0E9E">
              <w:rPr>
                <w:bCs/>
                <w:sz w:val="20"/>
                <w:vertAlign w:val="subscript"/>
              </w:rPr>
              <w:t>p,y</w:t>
            </w:r>
            <w:r w:rsidRPr="003E0E9E">
              <w:rPr>
                <w:bCs/>
                <w:sz w:val="20"/>
              </w:rPr>
              <w:t xml:space="preserve"> = No</w:t>
            </w:r>
            <w:r w:rsidRPr="003E0E9E">
              <w:rPr>
                <w:bCs/>
                <w:sz w:val="20"/>
                <w:vertAlign w:val="subscript"/>
              </w:rPr>
              <w:t>p,y</w:t>
            </w:r>
            <w:r w:rsidRPr="003E0E9E">
              <w:rPr>
                <w:bCs/>
                <w:sz w:val="20"/>
              </w:rPr>
              <w:t xml:space="preserve"> * (O</w:t>
            </w:r>
            <w:r w:rsidRPr="003E0E9E">
              <w:rPr>
                <w:bCs/>
                <w:sz w:val="20"/>
                <w:vertAlign w:val="subscript"/>
              </w:rPr>
              <w:t>p,y</w:t>
            </w:r>
            <w:r w:rsidRPr="003E0E9E">
              <w:rPr>
                <w:bCs/>
                <w:sz w:val="20"/>
              </w:rPr>
              <w:t xml:space="preserve"> / 365)). The average operational days will be confirmed upon verification.</w:t>
            </w:r>
          </w:p>
        </w:tc>
      </w:tr>
      <w:tr w:rsidR="003E0E9E" w:rsidRPr="000C7CA3" w14:paraId="6375BEC5" w14:textId="77777777" w:rsidTr="003E0E9E">
        <w:trPr>
          <w:cantSplit/>
          <w:jc w:val="center"/>
        </w:trPr>
        <w:tc>
          <w:tcPr>
            <w:tcW w:w="2696" w:type="dxa"/>
            <w:shd w:val="clear" w:color="auto" w:fill="D9D9D9"/>
            <w:tcMar>
              <w:top w:w="28" w:type="dxa"/>
              <w:left w:w="57" w:type="dxa"/>
              <w:bottom w:w="28" w:type="dxa"/>
              <w:right w:w="57" w:type="dxa"/>
            </w:tcMar>
            <w:vAlign w:val="center"/>
          </w:tcPr>
          <w:p w14:paraId="057E37F7" w14:textId="77777777" w:rsidR="003E0E9E" w:rsidRPr="00D118BA" w:rsidRDefault="003E0E9E" w:rsidP="003E0E9E">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5635A7DD" w14:textId="77777777" w:rsidR="003E0E9E" w:rsidRPr="003E0E9E" w:rsidRDefault="003E0E9E" w:rsidP="003E0E9E">
            <w:pPr>
              <w:rPr>
                <w:sz w:val="20"/>
              </w:rPr>
            </w:pPr>
            <w:r w:rsidRPr="003E0E9E">
              <w:rPr>
                <w:bCs/>
                <w:sz w:val="20"/>
              </w:rPr>
              <w:t>Calculation of project emissions</w:t>
            </w:r>
          </w:p>
        </w:tc>
      </w:tr>
      <w:tr w:rsidR="003E0E9E" w:rsidRPr="000C7CA3" w14:paraId="634A060B" w14:textId="77777777" w:rsidTr="003E0E9E">
        <w:trPr>
          <w:cantSplit/>
          <w:jc w:val="center"/>
        </w:trPr>
        <w:tc>
          <w:tcPr>
            <w:tcW w:w="2696" w:type="dxa"/>
            <w:shd w:val="clear" w:color="auto" w:fill="D9D9D9"/>
            <w:tcMar>
              <w:top w:w="28" w:type="dxa"/>
              <w:left w:w="57" w:type="dxa"/>
              <w:bottom w:w="28" w:type="dxa"/>
              <w:right w:w="57" w:type="dxa"/>
            </w:tcMar>
            <w:vAlign w:val="center"/>
          </w:tcPr>
          <w:p w14:paraId="37248494" w14:textId="77777777" w:rsidR="003E0E9E" w:rsidRPr="00D118BA" w:rsidRDefault="003E0E9E" w:rsidP="003E0E9E">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0EFEE2A8" w14:textId="77777777" w:rsidR="003E0E9E" w:rsidRPr="003E0E9E" w:rsidRDefault="003E0E9E" w:rsidP="003E0E9E">
            <w:pPr>
              <w:rPr>
                <w:sz w:val="20"/>
              </w:rPr>
            </w:pPr>
            <w:r w:rsidRPr="003E0E9E">
              <w:rPr>
                <w:sz w:val="20"/>
              </w:rPr>
              <w:t>N/A</w:t>
            </w:r>
          </w:p>
        </w:tc>
      </w:tr>
    </w:tbl>
    <w:p w14:paraId="29D6CAFC" w14:textId="77777777" w:rsidR="003E0E9E" w:rsidRDefault="003E0E9E"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3E0E9E" w:rsidRPr="000C7CA3" w14:paraId="3185AFA8" w14:textId="77777777" w:rsidTr="003E0E9E">
        <w:trPr>
          <w:cantSplit/>
          <w:jc w:val="center"/>
        </w:trPr>
        <w:tc>
          <w:tcPr>
            <w:tcW w:w="2696" w:type="dxa"/>
            <w:shd w:val="clear" w:color="auto" w:fill="D9D9D9"/>
            <w:tcMar>
              <w:top w:w="28" w:type="dxa"/>
              <w:left w:w="57" w:type="dxa"/>
              <w:bottom w:w="28" w:type="dxa"/>
              <w:right w:w="57" w:type="dxa"/>
            </w:tcMar>
            <w:vAlign w:val="center"/>
          </w:tcPr>
          <w:p w14:paraId="3035EA1C" w14:textId="77777777" w:rsidR="003E0E9E" w:rsidRPr="00A76316" w:rsidRDefault="003E0E9E" w:rsidP="003E0E9E">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1F62EF5E" w14:textId="77777777" w:rsidR="003E0E9E" w:rsidRPr="003E0E9E" w:rsidRDefault="003E0E9E" w:rsidP="003E0E9E">
            <w:pPr>
              <w:rPr>
                <w:sz w:val="20"/>
              </w:rPr>
            </w:pPr>
            <w:r w:rsidRPr="003E0E9E">
              <w:rPr>
                <w:b/>
                <w:bCs/>
                <w:sz w:val="20"/>
              </w:rPr>
              <w:t>No</w:t>
            </w:r>
            <w:r w:rsidRPr="003E0E9E">
              <w:rPr>
                <w:b/>
                <w:bCs/>
                <w:sz w:val="20"/>
                <w:vertAlign w:val="subscript"/>
              </w:rPr>
              <w:t>p1,y</w:t>
            </w:r>
          </w:p>
        </w:tc>
      </w:tr>
      <w:tr w:rsidR="003E0E9E" w:rsidRPr="000C7CA3" w14:paraId="0DBDDE4E" w14:textId="77777777" w:rsidTr="003E0E9E">
        <w:trPr>
          <w:cantSplit/>
          <w:jc w:val="center"/>
        </w:trPr>
        <w:tc>
          <w:tcPr>
            <w:tcW w:w="2696" w:type="dxa"/>
            <w:shd w:val="clear" w:color="auto" w:fill="D9D9D9"/>
            <w:tcMar>
              <w:top w:w="28" w:type="dxa"/>
              <w:left w:w="57" w:type="dxa"/>
              <w:bottom w:w="28" w:type="dxa"/>
              <w:right w:w="57" w:type="dxa"/>
            </w:tcMar>
            <w:vAlign w:val="center"/>
          </w:tcPr>
          <w:p w14:paraId="70B096F2" w14:textId="77777777" w:rsidR="003E0E9E" w:rsidRPr="00D118BA" w:rsidRDefault="003E0E9E" w:rsidP="003E0E9E">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419BB6BA" w14:textId="77777777" w:rsidR="003E0E9E" w:rsidRPr="003E0E9E" w:rsidRDefault="003E0E9E" w:rsidP="003E0E9E">
            <w:pPr>
              <w:rPr>
                <w:sz w:val="20"/>
              </w:rPr>
            </w:pPr>
            <w:r w:rsidRPr="003E0E9E">
              <w:rPr>
                <w:bCs/>
                <w:sz w:val="20"/>
              </w:rPr>
              <w:t>Number</w:t>
            </w:r>
          </w:p>
        </w:tc>
      </w:tr>
      <w:tr w:rsidR="003E0E9E" w:rsidRPr="000C7CA3" w14:paraId="12244B4F" w14:textId="77777777" w:rsidTr="003E0E9E">
        <w:trPr>
          <w:cantSplit/>
          <w:jc w:val="center"/>
        </w:trPr>
        <w:tc>
          <w:tcPr>
            <w:tcW w:w="2696" w:type="dxa"/>
            <w:shd w:val="clear" w:color="auto" w:fill="D9D9D9"/>
            <w:tcMar>
              <w:top w:w="28" w:type="dxa"/>
              <w:left w:w="57" w:type="dxa"/>
              <w:bottom w:w="28" w:type="dxa"/>
              <w:right w:w="57" w:type="dxa"/>
            </w:tcMar>
            <w:vAlign w:val="center"/>
          </w:tcPr>
          <w:p w14:paraId="48061CEB" w14:textId="77777777" w:rsidR="003E0E9E" w:rsidRPr="00D118BA" w:rsidRDefault="003E0E9E" w:rsidP="003E0E9E">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2D904142" w14:textId="77777777" w:rsidR="003E0E9E" w:rsidRPr="003E0E9E" w:rsidRDefault="003E0E9E" w:rsidP="003E0E9E">
            <w:pPr>
              <w:rPr>
                <w:sz w:val="20"/>
              </w:rPr>
            </w:pPr>
            <w:r w:rsidRPr="003E0E9E">
              <w:rPr>
                <w:bCs/>
                <w:sz w:val="20"/>
                <w:lang w:val="en-US"/>
              </w:rPr>
              <w:t>Cumulative number of project technologies included in the project database for project scenario p1 in year y</w:t>
            </w:r>
          </w:p>
        </w:tc>
      </w:tr>
      <w:tr w:rsidR="003E0E9E" w:rsidRPr="000C7CA3" w14:paraId="13646FB6" w14:textId="77777777" w:rsidTr="003E0E9E">
        <w:trPr>
          <w:cantSplit/>
          <w:jc w:val="center"/>
        </w:trPr>
        <w:tc>
          <w:tcPr>
            <w:tcW w:w="2696" w:type="dxa"/>
            <w:shd w:val="clear" w:color="auto" w:fill="D9D9D9"/>
            <w:tcMar>
              <w:top w:w="28" w:type="dxa"/>
              <w:left w:w="57" w:type="dxa"/>
              <w:bottom w:w="28" w:type="dxa"/>
              <w:right w:w="57" w:type="dxa"/>
            </w:tcMar>
            <w:vAlign w:val="center"/>
          </w:tcPr>
          <w:p w14:paraId="1569D05F" w14:textId="77777777" w:rsidR="003E0E9E" w:rsidRPr="00D118BA" w:rsidRDefault="003E0E9E" w:rsidP="003E0E9E">
            <w:pPr>
              <w:rPr>
                <w:sz w:val="20"/>
              </w:rPr>
            </w:pPr>
            <w:r w:rsidRPr="00D118BA">
              <w:rPr>
                <w:sz w:val="20"/>
              </w:rPr>
              <w:lastRenderedPageBreak/>
              <w:t>Source of data</w:t>
            </w:r>
          </w:p>
        </w:tc>
        <w:tc>
          <w:tcPr>
            <w:tcW w:w="6933" w:type="dxa"/>
            <w:shd w:val="clear" w:color="auto" w:fill="auto"/>
            <w:tcMar>
              <w:top w:w="28" w:type="dxa"/>
              <w:left w:w="57" w:type="dxa"/>
              <w:bottom w:w="28" w:type="dxa"/>
              <w:right w:w="57" w:type="dxa"/>
            </w:tcMar>
            <w:vAlign w:val="center"/>
          </w:tcPr>
          <w:p w14:paraId="176B889B" w14:textId="77777777" w:rsidR="003E0E9E" w:rsidRPr="003E0E9E" w:rsidRDefault="003E0E9E" w:rsidP="003E0E9E">
            <w:pPr>
              <w:rPr>
                <w:sz w:val="20"/>
              </w:rPr>
            </w:pPr>
            <w:r w:rsidRPr="003E0E9E">
              <w:rPr>
                <w:bCs/>
                <w:sz w:val="20"/>
                <w:lang w:val="en-US"/>
              </w:rPr>
              <w:t>Project Database</w:t>
            </w:r>
          </w:p>
        </w:tc>
      </w:tr>
      <w:tr w:rsidR="003E0E9E" w:rsidRPr="000C7CA3" w14:paraId="2FF756AF" w14:textId="77777777" w:rsidTr="003E0E9E">
        <w:trPr>
          <w:cantSplit/>
          <w:jc w:val="center"/>
        </w:trPr>
        <w:tc>
          <w:tcPr>
            <w:tcW w:w="2696" w:type="dxa"/>
            <w:shd w:val="clear" w:color="auto" w:fill="D9D9D9"/>
            <w:tcMar>
              <w:top w:w="28" w:type="dxa"/>
              <w:left w:w="57" w:type="dxa"/>
              <w:bottom w:w="28" w:type="dxa"/>
              <w:right w:w="57" w:type="dxa"/>
            </w:tcMar>
            <w:vAlign w:val="center"/>
          </w:tcPr>
          <w:p w14:paraId="0F1E64F3" w14:textId="77777777" w:rsidR="003E0E9E" w:rsidRPr="00D118BA" w:rsidRDefault="003E0E9E" w:rsidP="003E0E9E">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1C136ADD" w14:textId="77777777" w:rsidR="003E0E9E" w:rsidRPr="003E0E9E" w:rsidRDefault="00747C9E" w:rsidP="003E0E9E">
            <w:pPr>
              <w:rPr>
                <w:sz w:val="20"/>
              </w:rPr>
            </w:pPr>
            <w:r>
              <w:rPr>
                <w:sz w:val="20"/>
              </w:rPr>
              <w:t>4,160</w:t>
            </w:r>
          </w:p>
        </w:tc>
      </w:tr>
      <w:tr w:rsidR="003E0E9E" w:rsidRPr="000C7CA3" w14:paraId="2DCB6E51" w14:textId="77777777" w:rsidTr="003E0E9E">
        <w:trPr>
          <w:cantSplit/>
          <w:jc w:val="center"/>
        </w:trPr>
        <w:tc>
          <w:tcPr>
            <w:tcW w:w="2696" w:type="dxa"/>
            <w:shd w:val="clear" w:color="auto" w:fill="D9D9D9"/>
            <w:tcMar>
              <w:top w:w="28" w:type="dxa"/>
              <w:left w:w="57" w:type="dxa"/>
              <w:bottom w:w="28" w:type="dxa"/>
              <w:right w:w="57" w:type="dxa"/>
            </w:tcMar>
            <w:vAlign w:val="center"/>
          </w:tcPr>
          <w:p w14:paraId="3EC54C78" w14:textId="77777777" w:rsidR="003E0E9E" w:rsidRPr="00D118BA" w:rsidRDefault="003E0E9E" w:rsidP="003E0E9E">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321369B7" w14:textId="77777777" w:rsidR="003E0E9E" w:rsidRPr="003E0E9E" w:rsidRDefault="003E0E9E" w:rsidP="003E0E9E">
            <w:pPr>
              <w:rPr>
                <w:sz w:val="20"/>
              </w:rPr>
            </w:pPr>
            <w:r w:rsidRPr="003E0E9E">
              <w:rPr>
                <w:bCs/>
                <w:sz w:val="20"/>
              </w:rPr>
              <w:t xml:space="preserve">The date presented in the </w:t>
            </w:r>
            <w:r w:rsidRPr="00747C9E">
              <w:rPr>
                <w:bCs/>
                <w:sz w:val="20"/>
              </w:rPr>
              <w:t xml:space="preserve">Sales Agreement for each biogas digester is recorded in the Project Database. On average, biogas is produced and used 45 – 50 days after completion. </w:t>
            </w:r>
            <w:r w:rsidRPr="00747C9E">
              <w:rPr>
                <w:b/>
                <w:bCs/>
                <w:sz w:val="20"/>
              </w:rPr>
              <w:t>N</w:t>
            </w:r>
            <w:r w:rsidRPr="00747C9E">
              <w:rPr>
                <w:b/>
                <w:bCs/>
                <w:sz w:val="20"/>
                <w:vertAlign w:val="subscript"/>
              </w:rPr>
              <w:t xml:space="preserve">0p,y </w:t>
            </w:r>
            <w:r w:rsidRPr="00747C9E">
              <w:rPr>
                <w:bCs/>
                <w:sz w:val="20"/>
              </w:rPr>
              <w:t>will</w:t>
            </w:r>
            <w:r w:rsidRPr="003E0E9E">
              <w:rPr>
                <w:bCs/>
                <w:sz w:val="20"/>
              </w:rPr>
              <w:t xml:space="preserve"> be calculated from this date.</w:t>
            </w:r>
          </w:p>
        </w:tc>
      </w:tr>
      <w:tr w:rsidR="003E0E9E" w:rsidRPr="000C7CA3" w14:paraId="7780EC62" w14:textId="77777777" w:rsidTr="003E0E9E">
        <w:trPr>
          <w:cantSplit/>
          <w:jc w:val="center"/>
        </w:trPr>
        <w:tc>
          <w:tcPr>
            <w:tcW w:w="2696" w:type="dxa"/>
            <w:shd w:val="clear" w:color="auto" w:fill="D9D9D9"/>
            <w:tcMar>
              <w:top w:w="28" w:type="dxa"/>
              <w:left w:w="57" w:type="dxa"/>
              <w:bottom w:w="28" w:type="dxa"/>
              <w:right w:w="57" w:type="dxa"/>
            </w:tcMar>
            <w:vAlign w:val="center"/>
          </w:tcPr>
          <w:p w14:paraId="7053F549" w14:textId="77777777" w:rsidR="003E0E9E" w:rsidRPr="00D118BA" w:rsidRDefault="003E0E9E" w:rsidP="003E0E9E">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5FF5E5E2" w14:textId="77777777" w:rsidR="003E0E9E" w:rsidRPr="003E0E9E" w:rsidRDefault="003E0E9E" w:rsidP="003E0E9E">
            <w:pPr>
              <w:rPr>
                <w:sz w:val="20"/>
              </w:rPr>
            </w:pPr>
            <w:r w:rsidRPr="003E0E9E">
              <w:rPr>
                <w:bCs/>
                <w:sz w:val="20"/>
              </w:rPr>
              <w:t>Continuous</w:t>
            </w:r>
          </w:p>
        </w:tc>
      </w:tr>
      <w:tr w:rsidR="003E0E9E" w:rsidRPr="000C7CA3" w14:paraId="440779A2" w14:textId="77777777" w:rsidTr="003E0E9E">
        <w:trPr>
          <w:cantSplit/>
          <w:jc w:val="center"/>
        </w:trPr>
        <w:tc>
          <w:tcPr>
            <w:tcW w:w="2696" w:type="dxa"/>
            <w:shd w:val="clear" w:color="auto" w:fill="D9D9D9"/>
            <w:tcMar>
              <w:top w:w="28" w:type="dxa"/>
              <w:left w:w="57" w:type="dxa"/>
              <w:bottom w:w="28" w:type="dxa"/>
              <w:right w:w="57" w:type="dxa"/>
            </w:tcMar>
            <w:vAlign w:val="center"/>
          </w:tcPr>
          <w:p w14:paraId="27F97147" w14:textId="77777777" w:rsidR="003E0E9E" w:rsidRPr="00D118BA" w:rsidRDefault="003E0E9E" w:rsidP="003E0E9E">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277B6612" w14:textId="77777777" w:rsidR="003E0E9E" w:rsidRPr="003E0E9E" w:rsidRDefault="003E0E9E" w:rsidP="003E0E9E">
            <w:pPr>
              <w:rPr>
                <w:sz w:val="20"/>
              </w:rPr>
            </w:pPr>
            <w:r w:rsidRPr="003E0E9E">
              <w:rPr>
                <w:bCs/>
                <w:sz w:val="20"/>
              </w:rPr>
              <w:t>As per procedures of the Project Database</w:t>
            </w:r>
          </w:p>
        </w:tc>
      </w:tr>
      <w:tr w:rsidR="003E0E9E" w:rsidRPr="000C7CA3" w14:paraId="439D1EE3" w14:textId="77777777" w:rsidTr="003E0E9E">
        <w:trPr>
          <w:cantSplit/>
          <w:jc w:val="center"/>
        </w:trPr>
        <w:tc>
          <w:tcPr>
            <w:tcW w:w="2696" w:type="dxa"/>
            <w:shd w:val="clear" w:color="auto" w:fill="D9D9D9"/>
            <w:tcMar>
              <w:top w:w="28" w:type="dxa"/>
              <w:left w:w="57" w:type="dxa"/>
              <w:bottom w:w="28" w:type="dxa"/>
              <w:right w:w="57" w:type="dxa"/>
            </w:tcMar>
            <w:vAlign w:val="center"/>
          </w:tcPr>
          <w:p w14:paraId="6DD2256C" w14:textId="77777777" w:rsidR="003E0E9E" w:rsidRPr="00D118BA" w:rsidRDefault="003E0E9E" w:rsidP="003E0E9E">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31F29DD1" w14:textId="77777777" w:rsidR="003E0E9E" w:rsidRPr="003E0E9E" w:rsidRDefault="003E0E9E" w:rsidP="003E0E9E">
            <w:pPr>
              <w:rPr>
                <w:sz w:val="20"/>
              </w:rPr>
            </w:pPr>
            <w:r w:rsidRPr="003E0E9E">
              <w:rPr>
                <w:bCs/>
                <w:sz w:val="20"/>
              </w:rPr>
              <w:t>Calculation of project emissions</w:t>
            </w:r>
          </w:p>
        </w:tc>
      </w:tr>
      <w:tr w:rsidR="003E0E9E" w:rsidRPr="000C7CA3" w14:paraId="63F8E84B" w14:textId="77777777" w:rsidTr="003E0E9E">
        <w:trPr>
          <w:cantSplit/>
          <w:jc w:val="center"/>
        </w:trPr>
        <w:tc>
          <w:tcPr>
            <w:tcW w:w="2696" w:type="dxa"/>
            <w:shd w:val="clear" w:color="auto" w:fill="D9D9D9"/>
            <w:tcMar>
              <w:top w:w="28" w:type="dxa"/>
              <w:left w:w="57" w:type="dxa"/>
              <w:bottom w:w="28" w:type="dxa"/>
              <w:right w:w="57" w:type="dxa"/>
            </w:tcMar>
            <w:vAlign w:val="center"/>
          </w:tcPr>
          <w:p w14:paraId="7DB6BAA2" w14:textId="77777777" w:rsidR="003E0E9E" w:rsidRPr="00D118BA" w:rsidRDefault="003E0E9E" w:rsidP="003E0E9E">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6622E6B0" w14:textId="77777777" w:rsidR="003E0E9E" w:rsidRPr="003E0E9E" w:rsidRDefault="003E0E9E" w:rsidP="003E0E9E">
            <w:pPr>
              <w:rPr>
                <w:sz w:val="20"/>
              </w:rPr>
            </w:pPr>
            <w:r w:rsidRPr="003E0E9E">
              <w:rPr>
                <w:bCs/>
                <w:sz w:val="20"/>
              </w:rPr>
              <w:t>The actual cumulative number of biodigester operational days will be confirmed upon verification.</w:t>
            </w:r>
          </w:p>
        </w:tc>
      </w:tr>
    </w:tbl>
    <w:p w14:paraId="5EF476D6" w14:textId="77777777" w:rsidR="003E0E9E" w:rsidRDefault="003E0E9E"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3E0E9E" w:rsidRPr="000C7CA3" w14:paraId="17DD974F" w14:textId="77777777" w:rsidTr="003E0E9E">
        <w:trPr>
          <w:cantSplit/>
          <w:jc w:val="center"/>
        </w:trPr>
        <w:tc>
          <w:tcPr>
            <w:tcW w:w="2696" w:type="dxa"/>
            <w:shd w:val="clear" w:color="auto" w:fill="D9D9D9"/>
            <w:tcMar>
              <w:top w:w="28" w:type="dxa"/>
              <w:left w:w="57" w:type="dxa"/>
              <w:bottom w:w="28" w:type="dxa"/>
              <w:right w:w="57" w:type="dxa"/>
            </w:tcMar>
            <w:vAlign w:val="center"/>
          </w:tcPr>
          <w:p w14:paraId="637FD7AA" w14:textId="77777777" w:rsidR="003E0E9E" w:rsidRPr="00A76316" w:rsidRDefault="003E0E9E" w:rsidP="003E0E9E">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3A81927D" w14:textId="77777777" w:rsidR="003E0E9E" w:rsidRPr="003E0E9E" w:rsidRDefault="003E0E9E" w:rsidP="003E0E9E">
            <w:pPr>
              <w:rPr>
                <w:sz w:val="20"/>
              </w:rPr>
            </w:pPr>
            <w:r w:rsidRPr="003E0E9E">
              <w:rPr>
                <w:b/>
                <w:bCs/>
                <w:sz w:val="20"/>
              </w:rPr>
              <w:t>O</w:t>
            </w:r>
            <w:r w:rsidRPr="003E0E9E">
              <w:rPr>
                <w:b/>
                <w:bCs/>
                <w:sz w:val="20"/>
                <w:vertAlign w:val="subscript"/>
              </w:rPr>
              <w:t>p1,y</w:t>
            </w:r>
          </w:p>
        </w:tc>
      </w:tr>
      <w:tr w:rsidR="003E0E9E" w:rsidRPr="000C7CA3" w14:paraId="5612225B" w14:textId="77777777" w:rsidTr="003E0E9E">
        <w:trPr>
          <w:cantSplit/>
          <w:jc w:val="center"/>
        </w:trPr>
        <w:tc>
          <w:tcPr>
            <w:tcW w:w="2696" w:type="dxa"/>
            <w:shd w:val="clear" w:color="auto" w:fill="D9D9D9"/>
            <w:tcMar>
              <w:top w:w="28" w:type="dxa"/>
              <w:left w:w="57" w:type="dxa"/>
              <w:bottom w:w="28" w:type="dxa"/>
              <w:right w:w="57" w:type="dxa"/>
            </w:tcMar>
            <w:vAlign w:val="center"/>
          </w:tcPr>
          <w:p w14:paraId="2B0279A2" w14:textId="77777777" w:rsidR="003E0E9E" w:rsidRPr="00D118BA" w:rsidRDefault="003E0E9E" w:rsidP="003E0E9E">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1900FDB7" w14:textId="77777777" w:rsidR="003E0E9E" w:rsidRPr="003E0E9E" w:rsidRDefault="003E0E9E" w:rsidP="003E0E9E">
            <w:pPr>
              <w:rPr>
                <w:sz w:val="20"/>
              </w:rPr>
            </w:pPr>
            <w:r w:rsidRPr="003E0E9E">
              <w:rPr>
                <w:bCs/>
                <w:sz w:val="20"/>
              </w:rPr>
              <w:t>Number</w:t>
            </w:r>
          </w:p>
        </w:tc>
      </w:tr>
      <w:tr w:rsidR="003E0E9E" w:rsidRPr="000C7CA3" w14:paraId="5784051F" w14:textId="77777777" w:rsidTr="003E0E9E">
        <w:trPr>
          <w:cantSplit/>
          <w:jc w:val="center"/>
        </w:trPr>
        <w:tc>
          <w:tcPr>
            <w:tcW w:w="2696" w:type="dxa"/>
            <w:shd w:val="clear" w:color="auto" w:fill="D9D9D9"/>
            <w:tcMar>
              <w:top w:w="28" w:type="dxa"/>
              <w:left w:w="57" w:type="dxa"/>
              <w:bottom w:w="28" w:type="dxa"/>
              <w:right w:w="57" w:type="dxa"/>
            </w:tcMar>
            <w:vAlign w:val="center"/>
          </w:tcPr>
          <w:p w14:paraId="10BCE4D6" w14:textId="77777777" w:rsidR="003E0E9E" w:rsidRPr="00D118BA" w:rsidRDefault="003E0E9E" w:rsidP="003E0E9E">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39A3AF2C" w14:textId="77777777" w:rsidR="003E0E9E" w:rsidRPr="003E0E9E" w:rsidRDefault="003E0E9E" w:rsidP="003E0E9E">
            <w:pPr>
              <w:rPr>
                <w:sz w:val="20"/>
              </w:rPr>
            </w:pPr>
            <w:r w:rsidRPr="003E0E9E">
              <w:rPr>
                <w:bCs/>
                <w:sz w:val="20"/>
                <w:lang w:val="en-US"/>
              </w:rPr>
              <w:t>The average technology-days during which the biodigesters are operational for project scenario p1 against baseline scenario b1 in year y</w:t>
            </w:r>
          </w:p>
        </w:tc>
      </w:tr>
      <w:tr w:rsidR="003E0E9E" w:rsidRPr="000C7CA3" w14:paraId="1AA06C9C" w14:textId="77777777" w:rsidTr="003E0E9E">
        <w:trPr>
          <w:cantSplit/>
          <w:jc w:val="center"/>
        </w:trPr>
        <w:tc>
          <w:tcPr>
            <w:tcW w:w="2696" w:type="dxa"/>
            <w:shd w:val="clear" w:color="auto" w:fill="D9D9D9"/>
            <w:tcMar>
              <w:top w:w="28" w:type="dxa"/>
              <w:left w:w="57" w:type="dxa"/>
              <w:bottom w:w="28" w:type="dxa"/>
              <w:right w:w="57" w:type="dxa"/>
            </w:tcMar>
            <w:vAlign w:val="center"/>
          </w:tcPr>
          <w:p w14:paraId="7EC563CE" w14:textId="77777777" w:rsidR="003E0E9E" w:rsidRPr="00D118BA" w:rsidRDefault="003E0E9E" w:rsidP="003E0E9E">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7592C51A" w14:textId="77777777" w:rsidR="003E0E9E" w:rsidRPr="003E0E9E" w:rsidRDefault="003E0E9E" w:rsidP="003E0E9E">
            <w:pPr>
              <w:rPr>
                <w:sz w:val="20"/>
              </w:rPr>
            </w:pPr>
            <w:r w:rsidRPr="003E0E9E">
              <w:rPr>
                <w:bCs/>
                <w:sz w:val="20"/>
                <w:lang w:val="en-US"/>
              </w:rPr>
              <w:t>Project Database</w:t>
            </w:r>
          </w:p>
        </w:tc>
      </w:tr>
      <w:tr w:rsidR="003E0E9E" w:rsidRPr="000C7CA3" w14:paraId="7F27AB8F" w14:textId="77777777" w:rsidTr="003E0E9E">
        <w:trPr>
          <w:cantSplit/>
          <w:jc w:val="center"/>
        </w:trPr>
        <w:tc>
          <w:tcPr>
            <w:tcW w:w="2696" w:type="dxa"/>
            <w:shd w:val="clear" w:color="auto" w:fill="D9D9D9"/>
            <w:tcMar>
              <w:top w:w="28" w:type="dxa"/>
              <w:left w:w="57" w:type="dxa"/>
              <w:bottom w:w="28" w:type="dxa"/>
              <w:right w:w="57" w:type="dxa"/>
            </w:tcMar>
            <w:vAlign w:val="center"/>
          </w:tcPr>
          <w:p w14:paraId="17736162" w14:textId="77777777" w:rsidR="003E0E9E" w:rsidRPr="00D118BA" w:rsidRDefault="003E0E9E" w:rsidP="003E0E9E">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406BB5BB" w14:textId="77777777" w:rsidR="003E0E9E" w:rsidRPr="003E0E9E" w:rsidRDefault="003E0E9E" w:rsidP="003E0E9E">
            <w:pPr>
              <w:rPr>
                <w:sz w:val="20"/>
              </w:rPr>
            </w:pPr>
            <w:r w:rsidRPr="003E0E9E">
              <w:rPr>
                <w:bCs/>
                <w:sz w:val="20"/>
              </w:rPr>
              <w:t>365</w:t>
            </w:r>
          </w:p>
        </w:tc>
      </w:tr>
      <w:tr w:rsidR="003E0E9E" w:rsidRPr="000C7CA3" w14:paraId="6DB2EC68" w14:textId="77777777" w:rsidTr="003E0E9E">
        <w:trPr>
          <w:cantSplit/>
          <w:jc w:val="center"/>
        </w:trPr>
        <w:tc>
          <w:tcPr>
            <w:tcW w:w="2696" w:type="dxa"/>
            <w:shd w:val="clear" w:color="auto" w:fill="D9D9D9"/>
            <w:tcMar>
              <w:top w:w="28" w:type="dxa"/>
              <w:left w:w="57" w:type="dxa"/>
              <w:bottom w:w="28" w:type="dxa"/>
              <w:right w:w="57" w:type="dxa"/>
            </w:tcMar>
            <w:vAlign w:val="center"/>
          </w:tcPr>
          <w:p w14:paraId="2FED8AFB" w14:textId="77777777" w:rsidR="003E0E9E" w:rsidRPr="00D118BA" w:rsidRDefault="003E0E9E" w:rsidP="003E0E9E">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46F986BD" w14:textId="77777777" w:rsidR="003E0E9E" w:rsidRPr="003E0E9E" w:rsidRDefault="003E0E9E" w:rsidP="003E0E9E">
            <w:pPr>
              <w:rPr>
                <w:sz w:val="20"/>
              </w:rPr>
            </w:pPr>
            <w:r w:rsidRPr="003E0E9E">
              <w:rPr>
                <w:bCs/>
                <w:sz w:val="20"/>
              </w:rPr>
              <w:t>The operational rate is determined on a sampling basis through annual monitoring surveys. In addition, households are required to notify provincial office staff in a situation when a biodigester stops working. This information is recorded in the Project database, allowing the identification per included biodigester the amount of operational days per year. In a scenario where the biodigester stops operating, the number of non-operational days is recorded in the database.</w:t>
            </w:r>
          </w:p>
        </w:tc>
      </w:tr>
      <w:tr w:rsidR="003E0E9E" w:rsidRPr="000C7CA3" w14:paraId="6121406E" w14:textId="77777777" w:rsidTr="003E0E9E">
        <w:trPr>
          <w:cantSplit/>
          <w:jc w:val="center"/>
        </w:trPr>
        <w:tc>
          <w:tcPr>
            <w:tcW w:w="2696" w:type="dxa"/>
            <w:shd w:val="clear" w:color="auto" w:fill="D9D9D9"/>
            <w:tcMar>
              <w:top w:w="28" w:type="dxa"/>
              <w:left w:w="57" w:type="dxa"/>
              <w:bottom w:w="28" w:type="dxa"/>
              <w:right w:w="57" w:type="dxa"/>
            </w:tcMar>
            <w:vAlign w:val="center"/>
          </w:tcPr>
          <w:p w14:paraId="04243344" w14:textId="77777777" w:rsidR="003E0E9E" w:rsidRPr="00D118BA" w:rsidRDefault="003E0E9E" w:rsidP="003E0E9E">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7BCF7750" w14:textId="77777777" w:rsidR="003E0E9E" w:rsidRPr="003E0E9E" w:rsidRDefault="003E0E9E" w:rsidP="003E0E9E">
            <w:pPr>
              <w:rPr>
                <w:sz w:val="20"/>
              </w:rPr>
            </w:pPr>
            <w:r w:rsidRPr="003E0E9E">
              <w:rPr>
                <w:bCs/>
                <w:sz w:val="20"/>
              </w:rPr>
              <w:t>Continuous</w:t>
            </w:r>
          </w:p>
        </w:tc>
      </w:tr>
      <w:tr w:rsidR="003E0E9E" w:rsidRPr="000C7CA3" w14:paraId="27529B08" w14:textId="77777777" w:rsidTr="003E0E9E">
        <w:trPr>
          <w:cantSplit/>
          <w:jc w:val="center"/>
        </w:trPr>
        <w:tc>
          <w:tcPr>
            <w:tcW w:w="2696" w:type="dxa"/>
            <w:shd w:val="clear" w:color="auto" w:fill="D9D9D9"/>
            <w:tcMar>
              <w:top w:w="28" w:type="dxa"/>
              <w:left w:w="57" w:type="dxa"/>
              <w:bottom w:w="28" w:type="dxa"/>
              <w:right w:w="57" w:type="dxa"/>
            </w:tcMar>
            <w:vAlign w:val="center"/>
          </w:tcPr>
          <w:p w14:paraId="53B1AC47" w14:textId="77777777" w:rsidR="003E0E9E" w:rsidRPr="00D118BA" w:rsidRDefault="003E0E9E" w:rsidP="003E0E9E">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622B0458" w14:textId="77777777" w:rsidR="003E0E9E" w:rsidRPr="003E0E9E" w:rsidRDefault="003E0E9E" w:rsidP="003E0E9E">
            <w:pPr>
              <w:rPr>
                <w:sz w:val="20"/>
              </w:rPr>
            </w:pPr>
            <w:r w:rsidRPr="003E0E9E">
              <w:rPr>
                <w:bCs/>
                <w:sz w:val="20"/>
              </w:rPr>
              <w:t>The average operational days will be confirmed upon verification.</w:t>
            </w:r>
          </w:p>
        </w:tc>
      </w:tr>
      <w:tr w:rsidR="003E0E9E" w:rsidRPr="000C7CA3" w14:paraId="0DB3679B" w14:textId="77777777" w:rsidTr="003E0E9E">
        <w:trPr>
          <w:cantSplit/>
          <w:jc w:val="center"/>
        </w:trPr>
        <w:tc>
          <w:tcPr>
            <w:tcW w:w="2696" w:type="dxa"/>
            <w:shd w:val="clear" w:color="auto" w:fill="D9D9D9"/>
            <w:tcMar>
              <w:top w:w="28" w:type="dxa"/>
              <w:left w:w="57" w:type="dxa"/>
              <w:bottom w:w="28" w:type="dxa"/>
              <w:right w:w="57" w:type="dxa"/>
            </w:tcMar>
            <w:vAlign w:val="center"/>
          </w:tcPr>
          <w:p w14:paraId="27124D70" w14:textId="77777777" w:rsidR="003E0E9E" w:rsidRPr="00D118BA" w:rsidRDefault="003E0E9E" w:rsidP="003E0E9E">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043178C4" w14:textId="77777777" w:rsidR="003E0E9E" w:rsidRPr="003E0E9E" w:rsidRDefault="003E0E9E" w:rsidP="003E0E9E">
            <w:pPr>
              <w:pStyle w:val="SDMTableBoxParaNotNumbered"/>
              <w:jc w:val="both"/>
            </w:pPr>
            <w:r w:rsidRPr="003E0E9E">
              <w:rPr>
                <w:bCs/>
              </w:rPr>
              <w:t>As per procedures of the Project Database.</w:t>
            </w:r>
          </w:p>
          <w:p w14:paraId="78F297B8" w14:textId="77777777" w:rsidR="003E0E9E" w:rsidRPr="003E0E9E" w:rsidRDefault="003E0E9E" w:rsidP="003E0E9E">
            <w:pPr>
              <w:rPr>
                <w:sz w:val="20"/>
              </w:rPr>
            </w:pPr>
          </w:p>
        </w:tc>
      </w:tr>
      <w:tr w:rsidR="003E0E9E" w:rsidRPr="000C7CA3" w14:paraId="5F2F3A49" w14:textId="77777777" w:rsidTr="003E0E9E">
        <w:trPr>
          <w:cantSplit/>
          <w:jc w:val="center"/>
        </w:trPr>
        <w:tc>
          <w:tcPr>
            <w:tcW w:w="2696" w:type="dxa"/>
            <w:shd w:val="clear" w:color="auto" w:fill="D9D9D9"/>
            <w:tcMar>
              <w:top w:w="28" w:type="dxa"/>
              <w:left w:w="57" w:type="dxa"/>
              <w:bottom w:w="28" w:type="dxa"/>
              <w:right w:w="57" w:type="dxa"/>
            </w:tcMar>
            <w:vAlign w:val="center"/>
          </w:tcPr>
          <w:p w14:paraId="369A5F3B" w14:textId="77777777" w:rsidR="003E0E9E" w:rsidRPr="00D118BA" w:rsidRDefault="003E0E9E" w:rsidP="003E0E9E">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5B441D91" w14:textId="77777777" w:rsidR="003E0E9E" w:rsidRPr="003E0E9E" w:rsidRDefault="003E0E9E" w:rsidP="003E0E9E">
            <w:pPr>
              <w:rPr>
                <w:sz w:val="20"/>
              </w:rPr>
            </w:pPr>
            <w:r w:rsidRPr="003E0E9E">
              <w:rPr>
                <w:bCs/>
                <w:sz w:val="20"/>
              </w:rPr>
              <w:t>The actual cumulative number of biodigester non-operational days will be confirmed upon verification. The equation to calculate this is (O</w:t>
            </w:r>
            <w:r w:rsidRPr="003E0E9E">
              <w:rPr>
                <w:bCs/>
                <w:sz w:val="20"/>
                <w:vertAlign w:val="subscript"/>
              </w:rPr>
              <w:t>p,y</w:t>
            </w:r>
            <w:r w:rsidRPr="003E0E9E">
              <w:rPr>
                <w:bCs/>
                <w:sz w:val="20"/>
              </w:rPr>
              <w:t xml:space="preserve"> = 365 – non-operational days)</w:t>
            </w:r>
          </w:p>
        </w:tc>
      </w:tr>
    </w:tbl>
    <w:p w14:paraId="31DBF0F7" w14:textId="77777777" w:rsidR="003E0E9E" w:rsidRDefault="003E0E9E"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3E0E9E" w:rsidRPr="000C7CA3" w14:paraId="0E6E9129" w14:textId="77777777" w:rsidTr="003E0E9E">
        <w:trPr>
          <w:cantSplit/>
          <w:jc w:val="center"/>
        </w:trPr>
        <w:tc>
          <w:tcPr>
            <w:tcW w:w="2696" w:type="dxa"/>
            <w:shd w:val="clear" w:color="auto" w:fill="D9D9D9"/>
            <w:tcMar>
              <w:top w:w="28" w:type="dxa"/>
              <w:left w:w="57" w:type="dxa"/>
              <w:bottom w:w="28" w:type="dxa"/>
              <w:right w:w="57" w:type="dxa"/>
            </w:tcMar>
            <w:vAlign w:val="center"/>
          </w:tcPr>
          <w:p w14:paraId="5DB80387" w14:textId="77777777" w:rsidR="003E0E9E" w:rsidRPr="00A76316" w:rsidRDefault="003E0E9E" w:rsidP="003E0E9E">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776C3D0A" w14:textId="77777777" w:rsidR="003E0E9E" w:rsidRPr="003E0E9E" w:rsidRDefault="003E0E9E" w:rsidP="003E0E9E">
            <w:pPr>
              <w:rPr>
                <w:sz w:val="20"/>
              </w:rPr>
            </w:pPr>
            <w:r w:rsidRPr="003E0E9E">
              <w:rPr>
                <w:b/>
                <w:bCs/>
                <w:sz w:val="20"/>
              </w:rPr>
              <w:t>LE</w:t>
            </w:r>
            <w:r w:rsidRPr="003E0E9E">
              <w:rPr>
                <w:b/>
                <w:bCs/>
                <w:sz w:val="20"/>
                <w:vertAlign w:val="subscript"/>
              </w:rPr>
              <w:t>p1,y</w:t>
            </w:r>
          </w:p>
        </w:tc>
      </w:tr>
      <w:tr w:rsidR="003E0E9E" w:rsidRPr="000C7CA3" w14:paraId="1EB32199" w14:textId="77777777" w:rsidTr="003E0E9E">
        <w:trPr>
          <w:cantSplit/>
          <w:jc w:val="center"/>
        </w:trPr>
        <w:tc>
          <w:tcPr>
            <w:tcW w:w="2696" w:type="dxa"/>
            <w:shd w:val="clear" w:color="auto" w:fill="D9D9D9"/>
            <w:tcMar>
              <w:top w:w="28" w:type="dxa"/>
              <w:left w:w="57" w:type="dxa"/>
              <w:bottom w:w="28" w:type="dxa"/>
              <w:right w:w="57" w:type="dxa"/>
            </w:tcMar>
            <w:vAlign w:val="center"/>
          </w:tcPr>
          <w:p w14:paraId="42C3945B" w14:textId="77777777" w:rsidR="003E0E9E" w:rsidRPr="00D118BA" w:rsidRDefault="003E0E9E" w:rsidP="003E0E9E">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641F4551" w14:textId="77777777" w:rsidR="003E0E9E" w:rsidRPr="003E0E9E" w:rsidRDefault="003E0E9E" w:rsidP="003E0E9E">
            <w:pPr>
              <w:rPr>
                <w:sz w:val="20"/>
              </w:rPr>
            </w:pPr>
            <w:r w:rsidRPr="003E0E9E">
              <w:rPr>
                <w:bCs/>
                <w:sz w:val="20"/>
              </w:rPr>
              <w:t>tCO</w:t>
            </w:r>
            <w:r w:rsidRPr="003E0E9E">
              <w:rPr>
                <w:bCs/>
                <w:sz w:val="20"/>
                <w:vertAlign w:val="subscript"/>
              </w:rPr>
              <w:t>2</w:t>
            </w:r>
            <w:r w:rsidRPr="003E0E9E">
              <w:rPr>
                <w:bCs/>
                <w:sz w:val="20"/>
              </w:rPr>
              <w:t>e/year</w:t>
            </w:r>
          </w:p>
        </w:tc>
      </w:tr>
      <w:tr w:rsidR="003E0E9E" w:rsidRPr="000C7CA3" w14:paraId="17C6773F" w14:textId="77777777" w:rsidTr="003E0E9E">
        <w:trPr>
          <w:cantSplit/>
          <w:jc w:val="center"/>
        </w:trPr>
        <w:tc>
          <w:tcPr>
            <w:tcW w:w="2696" w:type="dxa"/>
            <w:shd w:val="clear" w:color="auto" w:fill="D9D9D9"/>
            <w:tcMar>
              <w:top w:w="28" w:type="dxa"/>
              <w:left w:w="57" w:type="dxa"/>
              <w:bottom w:w="28" w:type="dxa"/>
              <w:right w:w="57" w:type="dxa"/>
            </w:tcMar>
            <w:vAlign w:val="center"/>
          </w:tcPr>
          <w:p w14:paraId="591CB702" w14:textId="77777777" w:rsidR="003E0E9E" w:rsidRPr="00D118BA" w:rsidRDefault="003E0E9E" w:rsidP="003E0E9E">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3DA5AC0E" w14:textId="77777777" w:rsidR="003E0E9E" w:rsidRPr="003E0E9E" w:rsidRDefault="003E0E9E" w:rsidP="003E0E9E">
            <w:pPr>
              <w:rPr>
                <w:sz w:val="20"/>
              </w:rPr>
            </w:pPr>
            <w:r w:rsidRPr="003E0E9E">
              <w:rPr>
                <w:bCs/>
                <w:sz w:val="20"/>
                <w:lang w:val="en-US"/>
              </w:rPr>
              <w:t>Leakage in project scenario p1 during year y</w:t>
            </w:r>
          </w:p>
        </w:tc>
      </w:tr>
      <w:tr w:rsidR="003E0E9E" w:rsidRPr="000C7CA3" w14:paraId="4B2454BC" w14:textId="77777777" w:rsidTr="003E0E9E">
        <w:trPr>
          <w:cantSplit/>
          <w:jc w:val="center"/>
        </w:trPr>
        <w:tc>
          <w:tcPr>
            <w:tcW w:w="2696" w:type="dxa"/>
            <w:shd w:val="clear" w:color="auto" w:fill="D9D9D9"/>
            <w:tcMar>
              <w:top w:w="28" w:type="dxa"/>
              <w:left w:w="57" w:type="dxa"/>
              <w:bottom w:w="28" w:type="dxa"/>
              <w:right w:w="57" w:type="dxa"/>
            </w:tcMar>
            <w:vAlign w:val="center"/>
          </w:tcPr>
          <w:p w14:paraId="33D95D6A" w14:textId="77777777" w:rsidR="003E0E9E" w:rsidRPr="00D118BA" w:rsidRDefault="003E0E9E" w:rsidP="003E0E9E">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34E187D2" w14:textId="77777777" w:rsidR="003E0E9E" w:rsidRPr="003E0E9E" w:rsidRDefault="00E35A9D" w:rsidP="003E0E9E">
            <w:pPr>
              <w:rPr>
                <w:sz w:val="20"/>
              </w:rPr>
            </w:pPr>
            <w:r>
              <w:rPr>
                <w:bCs/>
                <w:sz w:val="20"/>
              </w:rPr>
              <w:t>N/A</w:t>
            </w:r>
          </w:p>
        </w:tc>
      </w:tr>
      <w:tr w:rsidR="003E0E9E" w:rsidRPr="000C7CA3" w14:paraId="1374BE8A" w14:textId="77777777" w:rsidTr="003E0E9E">
        <w:trPr>
          <w:cantSplit/>
          <w:jc w:val="center"/>
        </w:trPr>
        <w:tc>
          <w:tcPr>
            <w:tcW w:w="2696" w:type="dxa"/>
            <w:shd w:val="clear" w:color="auto" w:fill="D9D9D9"/>
            <w:tcMar>
              <w:top w:w="28" w:type="dxa"/>
              <w:left w:w="57" w:type="dxa"/>
              <w:bottom w:w="28" w:type="dxa"/>
              <w:right w:w="57" w:type="dxa"/>
            </w:tcMar>
            <w:vAlign w:val="center"/>
          </w:tcPr>
          <w:p w14:paraId="4BD39B25" w14:textId="77777777" w:rsidR="003E0E9E" w:rsidRPr="00D118BA" w:rsidRDefault="003E0E9E" w:rsidP="003E0E9E">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0FF3B508" w14:textId="77777777" w:rsidR="003E0E9E" w:rsidRPr="003E0E9E" w:rsidRDefault="003E0E9E" w:rsidP="003E0E9E">
            <w:pPr>
              <w:rPr>
                <w:sz w:val="20"/>
              </w:rPr>
            </w:pPr>
            <w:r w:rsidRPr="003E0E9E">
              <w:rPr>
                <w:sz w:val="20"/>
              </w:rPr>
              <w:t>0.0</w:t>
            </w:r>
          </w:p>
        </w:tc>
      </w:tr>
      <w:tr w:rsidR="003E0E9E" w:rsidRPr="000C7CA3" w14:paraId="631BDF2B" w14:textId="77777777" w:rsidTr="003E0E9E">
        <w:trPr>
          <w:cantSplit/>
          <w:jc w:val="center"/>
        </w:trPr>
        <w:tc>
          <w:tcPr>
            <w:tcW w:w="2696" w:type="dxa"/>
            <w:shd w:val="clear" w:color="auto" w:fill="D9D9D9"/>
            <w:tcMar>
              <w:top w:w="28" w:type="dxa"/>
              <w:left w:w="57" w:type="dxa"/>
              <w:bottom w:w="28" w:type="dxa"/>
              <w:right w:w="57" w:type="dxa"/>
            </w:tcMar>
            <w:vAlign w:val="center"/>
          </w:tcPr>
          <w:p w14:paraId="00BE6451" w14:textId="77777777" w:rsidR="003E0E9E" w:rsidRPr="00D118BA" w:rsidRDefault="003E0E9E" w:rsidP="003E0E9E">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231B2309" w14:textId="77777777" w:rsidR="003E0E9E" w:rsidRPr="003E0E9E" w:rsidRDefault="00E35A9D" w:rsidP="003E0E9E">
            <w:pPr>
              <w:pStyle w:val="SDMTableBoxParaNotNumbered"/>
              <w:jc w:val="both"/>
            </w:pPr>
            <w:r>
              <w:rPr>
                <w:bCs/>
              </w:rPr>
              <w:t>N/A</w:t>
            </w:r>
          </w:p>
        </w:tc>
      </w:tr>
      <w:tr w:rsidR="003E0E9E" w:rsidRPr="000C7CA3" w14:paraId="1763FED4" w14:textId="77777777" w:rsidTr="003E0E9E">
        <w:trPr>
          <w:cantSplit/>
          <w:jc w:val="center"/>
        </w:trPr>
        <w:tc>
          <w:tcPr>
            <w:tcW w:w="2696" w:type="dxa"/>
            <w:shd w:val="clear" w:color="auto" w:fill="D9D9D9"/>
            <w:tcMar>
              <w:top w:w="28" w:type="dxa"/>
              <w:left w:w="57" w:type="dxa"/>
              <w:bottom w:w="28" w:type="dxa"/>
              <w:right w:w="57" w:type="dxa"/>
            </w:tcMar>
            <w:vAlign w:val="center"/>
          </w:tcPr>
          <w:p w14:paraId="3F4D643A" w14:textId="77777777" w:rsidR="003E0E9E" w:rsidRPr="00D118BA" w:rsidRDefault="003E0E9E" w:rsidP="003E0E9E">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170AE0EF" w14:textId="77777777" w:rsidR="003E0E9E" w:rsidRPr="003E0E9E" w:rsidRDefault="00E35A9D" w:rsidP="003E0E9E">
            <w:pPr>
              <w:rPr>
                <w:sz w:val="20"/>
              </w:rPr>
            </w:pPr>
            <w:r>
              <w:rPr>
                <w:bCs/>
                <w:sz w:val="20"/>
                <w:lang w:val="en-US"/>
              </w:rPr>
              <w:t>N/A</w:t>
            </w:r>
          </w:p>
        </w:tc>
      </w:tr>
      <w:tr w:rsidR="003E0E9E" w:rsidRPr="000C7CA3" w14:paraId="2C7AC0F6" w14:textId="77777777" w:rsidTr="003E0E9E">
        <w:trPr>
          <w:cantSplit/>
          <w:jc w:val="center"/>
        </w:trPr>
        <w:tc>
          <w:tcPr>
            <w:tcW w:w="2696" w:type="dxa"/>
            <w:shd w:val="clear" w:color="auto" w:fill="D9D9D9"/>
            <w:tcMar>
              <w:top w:w="28" w:type="dxa"/>
              <w:left w:w="57" w:type="dxa"/>
              <w:bottom w:w="28" w:type="dxa"/>
              <w:right w:w="57" w:type="dxa"/>
            </w:tcMar>
            <w:vAlign w:val="center"/>
          </w:tcPr>
          <w:p w14:paraId="7233C1DC" w14:textId="77777777" w:rsidR="003E0E9E" w:rsidRPr="00D118BA" w:rsidRDefault="003E0E9E" w:rsidP="003E0E9E">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46A113A0" w14:textId="77777777" w:rsidR="003E0E9E" w:rsidRPr="003E0E9E" w:rsidRDefault="00E35A9D" w:rsidP="003E0E9E">
            <w:pPr>
              <w:rPr>
                <w:sz w:val="20"/>
              </w:rPr>
            </w:pPr>
            <w:r>
              <w:rPr>
                <w:bCs/>
                <w:sz w:val="20"/>
              </w:rPr>
              <w:t>N/A</w:t>
            </w:r>
          </w:p>
        </w:tc>
      </w:tr>
      <w:tr w:rsidR="003E0E9E" w:rsidRPr="000C7CA3" w14:paraId="4C11EAB8" w14:textId="77777777" w:rsidTr="003E0E9E">
        <w:trPr>
          <w:cantSplit/>
          <w:jc w:val="center"/>
        </w:trPr>
        <w:tc>
          <w:tcPr>
            <w:tcW w:w="2696" w:type="dxa"/>
            <w:shd w:val="clear" w:color="auto" w:fill="D9D9D9"/>
            <w:tcMar>
              <w:top w:w="28" w:type="dxa"/>
              <w:left w:w="57" w:type="dxa"/>
              <w:bottom w:w="28" w:type="dxa"/>
              <w:right w:w="57" w:type="dxa"/>
            </w:tcMar>
            <w:vAlign w:val="center"/>
          </w:tcPr>
          <w:p w14:paraId="7C495D0E" w14:textId="77777777" w:rsidR="003E0E9E" w:rsidRPr="00D118BA" w:rsidRDefault="003E0E9E" w:rsidP="003E0E9E">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2583CB10" w14:textId="77777777" w:rsidR="003E0E9E" w:rsidRPr="003E0E9E" w:rsidRDefault="003E0E9E" w:rsidP="003E0E9E">
            <w:pPr>
              <w:rPr>
                <w:sz w:val="20"/>
              </w:rPr>
            </w:pPr>
            <w:r w:rsidRPr="003E0E9E">
              <w:rPr>
                <w:bCs/>
                <w:sz w:val="20"/>
              </w:rPr>
              <w:t>Calculation of leakage</w:t>
            </w:r>
          </w:p>
        </w:tc>
      </w:tr>
      <w:tr w:rsidR="003E0E9E" w:rsidRPr="000C7CA3" w14:paraId="2BD356ED" w14:textId="77777777" w:rsidTr="003E0E9E">
        <w:trPr>
          <w:cantSplit/>
          <w:jc w:val="center"/>
        </w:trPr>
        <w:tc>
          <w:tcPr>
            <w:tcW w:w="2696" w:type="dxa"/>
            <w:shd w:val="clear" w:color="auto" w:fill="D9D9D9"/>
            <w:tcMar>
              <w:top w:w="28" w:type="dxa"/>
              <w:left w:w="57" w:type="dxa"/>
              <w:bottom w:w="28" w:type="dxa"/>
              <w:right w:w="57" w:type="dxa"/>
            </w:tcMar>
            <w:vAlign w:val="center"/>
          </w:tcPr>
          <w:p w14:paraId="666680BD" w14:textId="77777777" w:rsidR="003E0E9E" w:rsidRPr="00D118BA" w:rsidRDefault="003E0E9E" w:rsidP="003E0E9E">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0565C215" w14:textId="77777777" w:rsidR="003E0E9E" w:rsidRPr="001F645D" w:rsidRDefault="001F645D" w:rsidP="001F645D">
            <w:pPr>
              <w:rPr>
                <w:bCs/>
                <w:sz w:val="20"/>
              </w:rPr>
            </w:pPr>
            <w:r>
              <w:rPr>
                <w:bCs/>
                <w:sz w:val="20"/>
              </w:rPr>
              <w:t xml:space="preserve">According to the methodology applied </w:t>
            </w:r>
            <w:r w:rsidRPr="001F645D">
              <w:rPr>
                <w:bCs/>
                <w:sz w:val="20"/>
              </w:rPr>
              <w:t>“leaka</w:t>
            </w:r>
            <w:r>
              <w:rPr>
                <w:bCs/>
                <w:sz w:val="20"/>
              </w:rPr>
              <w:t xml:space="preserve">ge risks deemed very low can be </w:t>
            </w:r>
            <w:r w:rsidRPr="001F645D">
              <w:rPr>
                <w:bCs/>
                <w:sz w:val="20"/>
              </w:rPr>
              <w:t>ignored as long as the case for their insign</w:t>
            </w:r>
            <w:r w:rsidR="00E35A9D">
              <w:rPr>
                <w:bCs/>
                <w:sz w:val="20"/>
              </w:rPr>
              <w:t>ificance is substantiated” (p.13</w:t>
            </w:r>
            <w:r w:rsidRPr="001F645D">
              <w:rPr>
                <w:bCs/>
                <w:sz w:val="20"/>
              </w:rPr>
              <w:t>).</w:t>
            </w:r>
            <w:r>
              <w:rPr>
                <w:bCs/>
                <w:sz w:val="20"/>
              </w:rPr>
              <w:t xml:space="preserve"> </w:t>
            </w:r>
            <w:r w:rsidRPr="001F645D">
              <w:rPr>
                <w:bCs/>
                <w:sz w:val="20"/>
              </w:rPr>
              <w:t xml:space="preserve">Section </w:t>
            </w:r>
            <w:r>
              <w:rPr>
                <w:rFonts w:cs="Arial"/>
                <w:i/>
                <w:lang w:val="en-US"/>
              </w:rPr>
              <w:t xml:space="preserve">6.4.3.3 </w:t>
            </w:r>
            <w:r w:rsidRPr="001F645D">
              <w:rPr>
                <w:bCs/>
                <w:sz w:val="20"/>
              </w:rPr>
              <w:t>of the VPA-DD provides an overview of potential sources of</w:t>
            </w:r>
            <w:r>
              <w:rPr>
                <w:bCs/>
                <w:sz w:val="20"/>
              </w:rPr>
              <w:t xml:space="preserve"> </w:t>
            </w:r>
            <w:r w:rsidRPr="001F645D">
              <w:rPr>
                <w:bCs/>
                <w:sz w:val="20"/>
              </w:rPr>
              <w:t>leakage, including their applicability and justification for excluding the sources of</w:t>
            </w:r>
            <w:r>
              <w:rPr>
                <w:bCs/>
                <w:sz w:val="20"/>
              </w:rPr>
              <w:t xml:space="preserve"> </w:t>
            </w:r>
            <w:r w:rsidRPr="001F645D">
              <w:rPr>
                <w:bCs/>
                <w:sz w:val="20"/>
              </w:rPr>
              <w:t>leakage.</w:t>
            </w:r>
          </w:p>
        </w:tc>
      </w:tr>
    </w:tbl>
    <w:p w14:paraId="65BA9DE2" w14:textId="77777777" w:rsidR="003E0E9E" w:rsidRDefault="003E0E9E"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72DB7" w:rsidRPr="000C7CA3" w14:paraId="3935EC8F" w14:textId="77777777" w:rsidTr="00AD281C">
        <w:trPr>
          <w:cantSplit/>
          <w:jc w:val="center"/>
        </w:trPr>
        <w:tc>
          <w:tcPr>
            <w:tcW w:w="2696" w:type="dxa"/>
            <w:shd w:val="clear" w:color="auto" w:fill="D9D9D9"/>
            <w:tcMar>
              <w:top w:w="28" w:type="dxa"/>
              <w:left w:w="57" w:type="dxa"/>
              <w:bottom w:w="28" w:type="dxa"/>
              <w:right w:w="57" w:type="dxa"/>
            </w:tcMar>
            <w:vAlign w:val="center"/>
          </w:tcPr>
          <w:p w14:paraId="4347D47F" w14:textId="77777777" w:rsidR="00972DB7" w:rsidRPr="00A76316" w:rsidRDefault="00972DB7" w:rsidP="00AD281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35AFED78" w14:textId="77777777" w:rsidR="00972DB7" w:rsidRPr="0022795A" w:rsidRDefault="00972DB7" w:rsidP="00AD281C">
            <w:pPr>
              <w:rPr>
                <w:sz w:val="20"/>
              </w:rPr>
            </w:pPr>
            <w:r w:rsidRPr="0022795A">
              <w:rPr>
                <w:b/>
                <w:bCs/>
                <w:sz w:val="20"/>
              </w:rPr>
              <w:t>N</w:t>
            </w:r>
            <w:r w:rsidRPr="0022795A">
              <w:rPr>
                <w:b/>
                <w:bCs/>
                <w:sz w:val="20"/>
                <w:vertAlign w:val="subscript"/>
              </w:rPr>
              <w:t>,T</w:t>
            </w:r>
          </w:p>
        </w:tc>
      </w:tr>
      <w:tr w:rsidR="00972DB7" w:rsidRPr="000C7CA3" w14:paraId="7D8AC6B2" w14:textId="77777777" w:rsidTr="00AD281C">
        <w:trPr>
          <w:cantSplit/>
          <w:jc w:val="center"/>
        </w:trPr>
        <w:tc>
          <w:tcPr>
            <w:tcW w:w="2696" w:type="dxa"/>
            <w:shd w:val="clear" w:color="auto" w:fill="D9D9D9"/>
            <w:tcMar>
              <w:top w:w="28" w:type="dxa"/>
              <w:left w:w="57" w:type="dxa"/>
              <w:bottom w:w="28" w:type="dxa"/>
              <w:right w:w="57" w:type="dxa"/>
            </w:tcMar>
            <w:vAlign w:val="center"/>
          </w:tcPr>
          <w:p w14:paraId="64C10D3A" w14:textId="77777777" w:rsidR="00972DB7" w:rsidRPr="00D118BA" w:rsidRDefault="00972DB7" w:rsidP="00AD281C">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5D255DC2" w14:textId="77777777" w:rsidR="00972DB7" w:rsidRPr="0022795A" w:rsidRDefault="00972DB7" w:rsidP="00AD281C">
            <w:pPr>
              <w:rPr>
                <w:sz w:val="20"/>
              </w:rPr>
            </w:pPr>
            <w:r w:rsidRPr="0022795A">
              <w:rPr>
                <w:bCs/>
                <w:sz w:val="20"/>
              </w:rPr>
              <w:t>Number of animals</w:t>
            </w:r>
          </w:p>
        </w:tc>
      </w:tr>
      <w:tr w:rsidR="00972DB7" w:rsidRPr="000C7CA3" w14:paraId="627B7CF7" w14:textId="77777777" w:rsidTr="00AD281C">
        <w:trPr>
          <w:cantSplit/>
          <w:jc w:val="center"/>
        </w:trPr>
        <w:tc>
          <w:tcPr>
            <w:tcW w:w="2696" w:type="dxa"/>
            <w:shd w:val="clear" w:color="auto" w:fill="D9D9D9"/>
            <w:tcMar>
              <w:top w:w="28" w:type="dxa"/>
              <w:left w:w="57" w:type="dxa"/>
              <w:bottom w:w="28" w:type="dxa"/>
              <w:right w:w="57" w:type="dxa"/>
            </w:tcMar>
            <w:vAlign w:val="center"/>
          </w:tcPr>
          <w:p w14:paraId="4FF59818" w14:textId="77777777" w:rsidR="00972DB7" w:rsidRPr="00D118BA" w:rsidRDefault="00972DB7" w:rsidP="00AD281C">
            <w:pPr>
              <w:rPr>
                <w:sz w:val="20"/>
              </w:rPr>
            </w:pPr>
            <w:r w:rsidRPr="00D118BA">
              <w:rPr>
                <w:sz w:val="20"/>
              </w:rPr>
              <w:lastRenderedPageBreak/>
              <w:t>Description</w:t>
            </w:r>
          </w:p>
        </w:tc>
        <w:tc>
          <w:tcPr>
            <w:tcW w:w="6933" w:type="dxa"/>
            <w:shd w:val="clear" w:color="auto" w:fill="auto"/>
            <w:tcMar>
              <w:top w:w="28" w:type="dxa"/>
              <w:left w:w="57" w:type="dxa"/>
              <w:bottom w:w="28" w:type="dxa"/>
              <w:right w:w="57" w:type="dxa"/>
            </w:tcMar>
            <w:vAlign w:val="center"/>
          </w:tcPr>
          <w:p w14:paraId="1BD8AD42" w14:textId="77777777" w:rsidR="00972DB7" w:rsidRPr="0022795A" w:rsidRDefault="00972DB7" w:rsidP="00AD281C">
            <w:pPr>
              <w:rPr>
                <w:sz w:val="20"/>
              </w:rPr>
            </w:pPr>
            <w:r w:rsidRPr="0022795A">
              <w:rPr>
                <w:bCs/>
                <w:sz w:val="20"/>
              </w:rPr>
              <w:t>Number of livestock category T in premise</w:t>
            </w:r>
          </w:p>
        </w:tc>
      </w:tr>
      <w:tr w:rsidR="00972DB7" w:rsidRPr="000C7CA3" w14:paraId="78D55FBA" w14:textId="77777777" w:rsidTr="00AD281C">
        <w:trPr>
          <w:cantSplit/>
          <w:jc w:val="center"/>
        </w:trPr>
        <w:tc>
          <w:tcPr>
            <w:tcW w:w="2696" w:type="dxa"/>
            <w:shd w:val="clear" w:color="auto" w:fill="D9D9D9"/>
            <w:tcMar>
              <w:top w:w="28" w:type="dxa"/>
              <w:left w:w="57" w:type="dxa"/>
              <w:bottom w:w="28" w:type="dxa"/>
              <w:right w:w="57" w:type="dxa"/>
            </w:tcMar>
            <w:vAlign w:val="center"/>
          </w:tcPr>
          <w:p w14:paraId="3675EE37" w14:textId="77777777" w:rsidR="00972DB7" w:rsidRPr="00D118BA" w:rsidRDefault="00972DB7" w:rsidP="00AD281C">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65408FB1" w14:textId="77777777" w:rsidR="00972DB7" w:rsidRPr="0022795A" w:rsidRDefault="00972DB7" w:rsidP="00AD281C">
            <w:pPr>
              <w:rPr>
                <w:sz w:val="20"/>
              </w:rPr>
            </w:pPr>
            <w:r>
              <w:rPr>
                <w:sz w:val="20"/>
              </w:rPr>
              <w:t xml:space="preserve">ABC VPA1 KE MP2 Surveys + Analysis, sheet ‘Analysis A’ </w:t>
            </w:r>
          </w:p>
        </w:tc>
      </w:tr>
      <w:tr w:rsidR="00972DB7" w:rsidRPr="000C7CA3" w14:paraId="6338CF55" w14:textId="77777777" w:rsidTr="00AD281C">
        <w:trPr>
          <w:cantSplit/>
          <w:jc w:val="center"/>
        </w:trPr>
        <w:tc>
          <w:tcPr>
            <w:tcW w:w="2696" w:type="dxa"/>
            <w:shd w:val="clear" w:color="auto" w:fill="D9D9D9"/>
            <w:tcMar>
              <w:top w:w="28" w:type="dxa"/>
              <w:left w:w="57" w:type="dxa"/>
              <w:bottom w:w="28" w:type="dxa"/>
              <w:right w:w="57" w:type="dxa"/>
            </w:tcMar>
            <w:vAlign w:val="center"/>
          </w:tcPr>
          <w:p w14:paraId="2CC64806" w14:textId="77777777" w:rsidR="00972DB7" w:rsidRPr="00D118BA" w:rsidRDefault="00972DB7" w:rsidP="00AD281C">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4DC5E5EC" w14:textId="77777777" w:rsidR="00972DB7" w:rsidRDefault="00972DB7" w:rsidP="00AD281C">
            <w:pPr>
              <w:rPr>
                <w:sz w:val="20"/>
              </w:rPr>
            </w:pPr>
          </w:p>
          <w:tbl>
            <w:tblPr>
              <w:tblW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135"/>
            </w:tblGrid>
            <w:tr w:rsidR="00972DB7" w14:paraId="1414E606" w14:textId="77777777" w:rsidTr="00AD281C">
              <w:trPr>
                <w:trHeight w:val="47"/>
              </w:trPr>
              <w:tc>
                <w:tcPr>
                  <w:tcW w:w="3192" w:type="dxa"/>
                  <w:tcBorders>
                    <w:top w:val="single" w:sz="4" w:space="0" w:color="auto"/>
                    <w:left w:val="single" w:sz="4" w:space="0" w:color="auto"/>
                    <w:bottom w:val="single" w:sz="4" w:space="0" w:color="auto"/>
                    <w:right w:val="single" w:sz="4" w:space="0" w:color="auto"/>
                  </w:tcBorders>
                  <w:shd w:val="clear" w:color="auto" w:fill="D9D9D9"/>
                  <w:hideMark/>
                </w:tcPr>
                <w:p w14:paraId="3C125D1C" w14:textId="77777777" w:rsidR="00972DB7" w:rsidRPr="00682450" w:rsidRDefault="00972DB7" w:rsidP="00AD281C">
                  <w:pPr>
                    <w:rPr>
                      <w:rFonts w:cs="Arial"/>
                      <w:b/>
                      <w:sz w:val="20"/>
                    </w:rPr>
                  </w:pPr>
                  <w:r w:rsidRPr="00682450">
                    <w:rPr>
                      <w:rFonts w:cs="Arial"/>
                      <w:b/>
                      <w:sz w:val="20"/>
                    </w:rPr>
                    <w:t>Animal T</w:t>
                  </w:r>
                </w:p>
              </w:tc>
              <w:tc>
                <w:tcPr>
                  <w:tcW w:w="2136" w:type="dxa"/>
                  <w:tcBorders>
                    <w:top w:val="single" w:sz="4" w:space="0" w:color="auto"/>
                    <w:left w:val="single" w:sz="4" w:space="0" w:color="auto"/>
                    <w:bottom w:val="single" w:sz="4" w:space="0" w:color="auto"/>
                    <w:right w:val="single" w:sz="4" w:space="0" w:color="auto"/>
                  </w:tcBorders>
                  <w:shd w:val="clear" w:color="auto" w:fill="D9D9D9"/>
                  <w:hideMark/>
                </w:tcPr>
                <w:p w14:paraId="278AD4DD" w14:textId="77777777" w:rsidR="00972DB7" w:rsidRPr="00682450" w:rsidRDefault="00972DB7" w:rsidP="00AD281C">
                  <w:pPr>
                    <w:rPr>
                      <w:rFonts w:cs="Arial"/>
                      <w:b/>
                      <w:sz w:val="20"/>
                    </w:rPr>
                  </w:pPr>
                  <w:r w:rsidRPr="00682450">
                    <w:rPr>
                      <w:rFonts w:cs="Arial"/>
                      <w:b/>
                      <w:sz w:val="20"/>
                    </w:rPr>
                    <w:t>Average amount</w:t>
                  </w:r>
                </w:p>
              </w:tc>
            </w:tr>
            <w:tr w:rsidR="00972DB7" w14:paraId="20FEBC6A" w14:textId="77777777" w:rsidTr="00AD281C">
              <w:trPr>
                <w:trHeight w:val="69"/>
              </w:trPr>
              <w:tc>
                <w:tcPr>
                  <w:tcW w:w="3192" w:type="dxa"/>
                  <w:tcBorders>
                    <w:top w:val="single" w:sz="4" w:space="0" w:color="auto"/>
                    <w:left w:val="single" w:sz="4" w:space="0" w:color="auto"/>
                    <w:bottom w:val="single" w:sz="4" w:space="0" w:color="auto"/>
                    <w:right w:val="single" w:sz="4" w:space="0" w:color="auto"/>
                  </w:tcBorders>
                  <w:hideMark/>
                </w:tcPr>
                <w:p w14:paraId="00C92F74" w14:textId="77777777" w:rsidR="00972DB7" w:rsidRPr="00682450" w:rsidRDefault="00972DB7" w:rsidP="00AD281C">
                  <w:pPr>
                    <w:rPr>
                      <w:rFonts w:cs="Arial"/>
                      <w:sz w:val="20"/>
                    </w:rPr>
                  </w:pPr>
                  <w:r w:rsidRPr="00682450">
                    <w:rPr>
                      <w:rFonts w:cs="Arial"/>
                      <w:sz w:val="20"/>
                    </w:rPr>
                    <w:t>Dairy cow</w:t>
                  </w:r>
                </w:p>
              </w:tc>
              <w:tc>
                <w:tcPr>
                  <w:tcW w:w="2136" w:type="dxa"/>
                  <w:tcBorders>
                    <w:top w:val="single" w:sz="4" w:space="0" w:color="auto"/>
                    <w:left w:val="single" w:sz="4" w:space="0" w:color="auto"/>
                    <w:bottom w:val="single" w:sz="4" w:space="0" w:color="auto"/>
                    <w:right w:val="single" w:sz="4" w:space="0" w:color="auto"/>
                  </w:tcBorders>
                  <w:hideMark/>
                </w:tcPr>
                <w:p w14:paraId="412E1C41" w14:textId="77777777" w:rsidR="00972DB7" w:rsidRPr="00682450" w:rsidRDefault="00972DB7" w:rsidP="00AD281C">
                  <w:pPr>
                    <w:rPr>
                      <w:rFonts w:cs="Arial"/>
                      <w:sz w:val="20"/>
                    </w:rPr>
                  </w:pPr>
                  <w:r w:rsidRPr="00682450">
                    <w:rPr>
                      <w:rFonts w:cs="Arial"/>
                      <w:sz w:val="20"/>
                    </w:rPr>
                    <w:t>5.3</w:t>
                  </w:r>
                </w:p>
              </w:tc>
            </w:tr>
            <w:tr w:rsidR="00972DB7" w14:paraId="3E858314" w14:textId="77777777" w:rsidTr="00AD281C">
              <w:trPr>
                <w:trHeight w:val="168"/>
              </w:trPr>
              <w:tc>
                <w:tcPr>
                  <w:tcW w:w="3192" w:type="dxa"/>
                  <w:tcBorders>
                    <w:top w:val="single" w:sz="4" w:space="0" w:color="auto"/>
                    <w:left w:val="single" w:sz="4" w:space="0" w:color="auto"/>
                    <w:bottom w:val="single" w:sz="4" w:space="0" w:color="auto"/>
                    <w:right w:val="single" w:sz="4" w:space="0" w:color="auto"/>
                  </w:tcBorders>
                  <w:hideMark/>
                </w:tcPr>
                <w:p w14:paraId="678EE26E" w14:textId="77777777" w:rsidR="00972DB7" w:rsidRPr="00682450" w:rsidRDefault="00972DB7" w:rsidP="00AD281C">
                  <w:pPr>
                    <w:rPr>
                      <w:rFonts w:cs="Arial"/>
                      <w:sz w:val="20"/>
                    </w:rPr>
                  </w:pPr>
                  <w:r w:rsidRPr="00682450">
                    <w:rPr>
                      <w:rFonts w:cs="Arial"/>
                      <w:sz w:val="20"/>
                    </w:rPr>
                    <w:t>Goat</w:t>
                  </w:r>
                </w:p>
              </w:tc>
              <w:tc>
                <w:tcPr>
                  <w:tcW w:w="2136" w:type="dxa"/>
                  <w:tcBorders>
                    <w:top w:val="single" w:sz="4" w:space="0" w:color="auto"/>
                    <w:left w:val="single" w:sz="4" w:space="0" w:color="auto"/>
                    <w:bottom w:val="single" w:sz="4" w:space="0" w:color="auto"/>
                    <w:right w:val="single" w:sz="4" w:space="0" w:color="auto"/>
                  </w:tcBorders>
                  <w:hideMark/>
                </w:tcPr>
                <w:p w14:paraId="6F919171" w14:textId="77777777" w:rsidR="00972DB7" w:rsidRPr="00682450" w:rsidRDefault="00972DB7" w:rsidP="00AD281C">
                  <w:pPr>
                    <w:rPr>
                      <w:rFonts w:cs="Arial"/>
                      <w:sz w:val="20"/>
                    </w:rPr>
                  </w:pPr>
                  <w:r w:rsidRPr="00682450">
                    <w:rPr>
                      <w:rFonts w:cs="Arial"/>
                      <w:sz w:val="20"/>
                    </w:rPr>
                    <w:t>1.3</w:t>
                  </w:r>
                </w:p>
              </w:tc>
            </w:tr>
            <w:tr w:rsidR="00972DB7" w14:paraId="608C36A1" w14:textId="77777777" w:rsidTr="00AD281C">
              <w:trPr>
                <w:trHeight w:val="159"/>
              </w:trPr>
              <w:tc>
                <w:tcPr>
                  <w:tcW w:w="3192" w:type="dxa"/>
                  <w:tcBorders>
                    <w:top w:val="single" w:sz="4" w:space="0" w:color="auto"/>
                    <w:left w:val="single" w:sz="4" w:space="0" w:color="auto"/>
                    <w:bottom w:val="single" w:sz="4" w:space="0" w:color="auto"/>
                    <w:right w:val="single" w:sz="4" w:space="0" w:color="auto"/>
                  </w:tcBorders>
                  <w:hideMark/>
                </w:tcPr>
                <w:p w14:paraId="230266D1" w14:textId="77777777" w:rsidR="00972DB7" w:rsidRPr="00682450" w:rsidRDefault="00972DB7" w:rsidP="00AD281C">
                  <w:pPr>
                    <w:rPr>
                      <w:rFonts w:cs="Arial"/>
                      <w:sz w:val="20"/>
                    </w:rPr>
                  </w:pPr>
                  <w:r w:rsidRPr="00682450">
                    <w:rPr>
                      <w:rFonts w:cs="Arial"/>
                      <w:sz w:val="20"/>
                    </w:rPr>
                    <w:t>Market swine</w:t>
                  </w:r>
                </w:p>
              </w:tc>
              <w:tc>
                <w:tcPr>
                  <w:tcW w:w="2136" w:type="dxa"/>
                  <w:tcBorders>
                    <w:top w:val="single" w:sz="4" w:space="0" w:color="auto"/>
                    <w:left w:val="single" w:sz="4" w:space="0" w:color="auto"/>
                    <w:bottom w:val="single" w:sz="4" w:space="0" w:color="auto"/>
                    <w:right w:val="single" w:sz="4" w:space="0" w:color="auto"/>
                  </w:tcBorders>
                  <w:hideMark/>
                </w:tcPr>
                <w:p w14:paraId="2E2F1D85" w14:textId="77777777" w:rsidR="00972DB7" w:rsidRPr="00682450" w:rsidRDefault="00972DB7" w:rsidP="00AD281C">
                  <w:pPr>
                    <w:rPr>
                      <w:rFonts w:cs="Arial"/>
                      <w:iCs/>
                      <w:sz w:val="20"/>
                    </w:rPr>
                  </w:pPr>
                  <w:r w:rsidRPr="00682450">
                    <w:rPr>
                      <w:rFonts w:cs="Arial"/>
                      <w:iCs/>
                      <w:sz w:val="20"/>
                    </w:rPr>
                    <w:t>0.3</w:t>
                  </w:r>
                </w:p>
              </w:tc>
            </w:tr>
            <w:tr w:rsidR="00972DB7" w14:paraId="0CC329AE" w14:textId="77777777" w:rsidTr="00AD281C">
              <w:trPr>
                <w:trHeight w:val="69"/>
              </w:trPr>
              <w:tc>
                <w:tcPr>
                  <w:tcW w:w="3192" w:type="dxa"/>
                  <w:tcBorders>
                    <w:top w:val="single" w:sz="4" w:space="0" w:color="auto"/>
                    <w:left w:val="single" w:sz="4" w:space="0" w:color="auto"/>
                    <w:bottom w:val="single" w:sz="4" w:space="0" w:color="auto"/>
                    <w:right w:val="single" w:sz="4" w:space="0" w:color="auto"/>
                  </w:tcBorders>
                  <w:hideMark/>
                </w:tcPr>
                <w:p w14:paraId="7E18AAFB" w14:textId="77777777" w:rsidR="00972DB7" w:rsidRPr="00682450" w:rsidRDefault="00972DB7" w:rsidP="00AD281C">
                  <w:pPr>
                    <w:rPr>
                      <w:rFonts w:cs="Arial"/>
                      <w:sz w:val="20"/>
                    </w:rPr>
                  </w:pPr>
                  <w:r w:rsidRPr="00682450">
                    <w:rPr>
                      <w:rFonts w:cs="Arial"/>
                      <w:sz w:val="20"/>
                    </w:rPr>
                    <w:t>Sheep</w:t>
                  </w:r>
                </w:p>
              </w:tc>
              <w:tc>
                <w:tcPr>
                  <w:tcW w:w="2136" w:type="dxa"/>
                  <w:tcBorders>
                    <w:top w:val="single" w:sz="4" w:space="0" w:color="auto"/>
                    <w:left w:val="single" w:sz="4" w:space="0" w:color="auto"/>
                    <w:bottom w:val="single" w:sz="4" w:space="0" w:color="auto"/>
                    <w:right w:val="single" w:sz="4" w:space="0" w:color="auto"/>
                  </w:tcBorders>
                  <w:hideMark/>
                </w:tcPr>
                <w:p w14:paraId="13645FFD" w14:textId="77777777" w:rsidR="00972DB7" w:rsidRPr="00682450" w:rsidRDefault="00972DB7" w:rsidP="00AD281C">
                  <w:pPr>
                    <w:rPr>
                      <w:rFonts w:cs="Arial"/>
                      <w:sz w:val="20"/>
                    </w:rPr>
                  </w:pPr>
                  <w:r w:rsidRPr="00682450">
                    <w:rPr>
                      <w:rFonts w:cs="Arial"/>
                      <w:sz w:val="20"/>
                    </w:rPr>
                    <w:t>2.5</w:t>
                  </w:r>
                </w:p>
              </w:tc>
            </w:tr>
            <w:tr w:rsidR="00972DB7" w14:paraId="75DA0EAC" w14:textId="77777777" w:rsidTr="00AD281C">
              <w:trPr>
                <w:trHeight w:val="132"/>
              </w:trPr>
              <w:tc>
                <w:tcPr>
                  <w:tcW w:w="3192" w:type="dxa"/>
                  <w:tcBorders>
                    <w:top w:val="single" w:sz="4" w:space="0" w:color="auto"/>
                    <w:left w:val="single" w:sz="4" w:space="0" w:color="auto"/>
                    <w:bottom w:val="single" w:sz="4" w:space="0" w:color="auto"/>
                    <w:right w:val="single" w:sz="4" w:space="0" w:color="auto"/>
                  </w:tcBorders>
                  <w:hideMark/>
                </w:tcPr>
                <w:p w14:paraId="3622B79A" w14:textId="77777777" w:rsidR="00972DB7" w:rsidRPr="00682450" w:rsidRDefault="00972DB7" w:rsidP="00AD281C">
                  <w:pPr>
                    <w:rPr>
                      <w:rFonts w:cs="Arial"/>
                      <w:sz w:val="20"/>
                    </w:rPr>
                  </w:pPr>
                  <w:r w:rsidRPr="00682450">
                    <w:rPr>
                      <w:rFonts w:cs="Arial"/>
                      <w:sz w:val="20"/>
                    </w:rPr>
                    <w:t>Other cattle</w:t>
                  </w:r>
                </w:p>
              </w:tc>
              <w:tc>
                <w:tcPr>
                  <w:tcW w:w="2136" w:type="dxa"/>
                  <w:tcBorders>
                    <w:top w:val="single" w:sz="4" w:space="0" w:color="auto"/>
                    <w:left w:val="single" w:sz="4" w:space="0" w:color="auto"/>
                    <w:bottom w:val="single" w:sz="4" w:space="0" w:color="auto"/>
                    <w:right w:val="single" w:sz="4" w:space="0" w:color="auto"/>
                  </w:tcBorders>
                  <w:hideMark/>
                </w:tcPr>
                <w:p w14:paraId="6CEA5C0B" w14:textId="77777777" w:rsidR="00972DB7" w:rsidRPr="00682450" w:rsidRDefault="00972DB7" w:rsidP="00AD281C">
                  <w:pPr>
                    <w:rPr>
                      <w:rFonts w:cs="Arial"/>
                      <w:iCs/>
                      <w:sz w:val="20"/>
                    </w:rPr>
                  </w:pPr>
                  <w:r w:rsidRPr="00682450">
                    <w:rPr>
                      <w:rFonts w:cs="Arial"/>
                      <w:iCs/>
                      <w:sz w:val="20"/>
                    </w:rPr>
                    <w:t>1.4</w:t>
                  </w:r>
                </w:p>
              </w:tc>
            </w:tr>
            <w:tr w:rsidR="00972DB7" w14:paraId="4AB094F0" w14:textId="77777777" w:rsidTr="00AD281C">
              <w:trPr>
                <w:trHeight w:val="47"/>
              </w:trPr>
              <w:tc>
                <w:tcPr>
                  <w:tcW w:w="3192" w:type="dxa"/>
                  <w:tcBorders>
                    <w:top w:val="single" w:sz="4" w:space="0" w:color="auto"/>
                    <w:left w:val="single" w:sz="4" w:space="0" w:color="auto"/>
                    <w:bottom w:val="single" w:sz="4" w:space="0" w:color="auto"/>
                    <w:right w:val="single" w:sz="4" w:space="0" w:color="auto"/>
                  </w:tcBorders>
                  <w:hideMark/>
                </w:tcPr>
                <w:p w14:paraId="4971E647" w14:textId="77777777" w:rsidR="00972DB7" w:rsidRPr="00682450" w:rsidRDefault="00972DB7" w:rsidP="00AD281C">
                  <w:pPr>
                    <w:rPr>
                      <w:rFonts w:cs="Arial"/>
                      <w:sz w:val="20"/>
                    </w:rPr>
                  </w:pPr>
                  <w:r w:rsidRPr="00682450">
                    <w:rPr>
                      <w:rFonts w:cs="Arial"/>
                      <w:sz w:val="20"/>
                    </w:rPr>
                    <w:t>Poultry</w:t>
                  </w:r>
                </w:p>
              </w:tc>
              <w:tc>
                <w:tcPr>
                  <w:tcW w:w="2136" w:type="dxa"/>
                  <w:tcBorders>
                    <w:top w:val="single" w:sz="4" w:space="0" w:color="auto"/>
                    <w:left w:val="single" w:sz="4" w:space="0" w:color="auto"/>
                    <w:bottom w:val="single" w:sz="4" w:space="0" w:color="auto"/>
                    <w:right w:val="single" w:sz="4" w:space="0" w:color="auto"/>
                  </w:tcBorders>
                  <w:hideMark/>
                </w:tcPr>
                <w:p w14:paraId="319C0D22" w14:textId="77777777" w:rsidR="00972DB7" w:rsidRPr="00682450" w:rsidRDefault="00972DB7" w:rsidP="00AD281C">
                  <w:pPr>
                    <w:rPr>
                      <w:rFonts w:cs="Arial"/>
                      <w:iCs/>
                      <w:sz w:val="20"/>
                    </w:rPr>
                  </w:pPr>
                  <w:r w:rsidRPr="00682450">
                    <w:rPr>
                      <w:rFonts w:cs="Arial"/>
                      <w:iCs/>
                      <w:sz w:val="20"/>
                    </w:rPr>
                    <w:t>24.1</w:t>
                  </w:r>
                </w:p>
              </w:tc>
            </w:tr>
          </w:tbl>
          <w:p w14:paraId="734E8EE1" w14:textId="77777777" w:rsidR="00972DB7" w:rsidRDefault="00972DB7" w:rsidP="00AD281C">
            <w:pPr>
              <w:rPr>
                <w:sz w:val="20"/>
              </w:rPr>
            </w:pPr>
          </w:p>
          <w:p w14:paraId="27CC49D2" w14:textId="77777777" w:rsidR="00972DB7" w:rsidRPr="0022795A" w:rsidRDefault="00972DB7" w:rsidP="00AD281C">
            <w:pPr>
              <w:rPr>
                <w:sz w:val="20"/>
              </w:rPr>
            </w:pPr>
          </w:p>
        </w:tc>
      </w:tr>
      <w:tr w:rsidR="00972DB7" w:rsidRPr="000C7CA3" w14:paraId="5B92B943" w14:textId="77777777" w:rsidTr="00AD281C">
        <w:trPr>
          <w:cantSplit/>
          <w:jc w:val="center"/>
        </w:trPr>
        <w:tc>
          <w:tcPr>
            <w:tcW w:w="2696" w:type="dxa"/>
            <w:shd w:val="clear" w:color="auto" w:fill="D9D9D9"/>
            <w:tcMar>
              <w:top w:w="28" w:type="dxa"/>
              <w:left w:w="57" w:type="dxa"/>
              <w:bottom w:w="28" w:type="dxa"/>
              <w:right w:w="57" w:type="dxa"/>
            </w:tcMar>
            <w:vAlign w:val="center"/>
          </w:tcPr>
          <w:p w14:paraId="1576EC1D" w14:textId="77777777" w:rsidR="00972DB7" w:rsidRPr="00D118BA" w:rsidRDefault="00972DB7" w:rsidP="00AD281C">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0E4CCE29" w14:textId="77777777" w:rsidR="00972DB7" w:rsidRPr="0022795A" w:rsidRDefault="00972DB7" w:rsidP="00AD281C">
            <w:pPr>
              <w:pStyle w:val="SDMTableBoxParaNotNumbered"/>
              <w:jc w:val="both"/>
            </w:pPr>
            <w:r w:rsidRPr="0022795A">
              <w:rPr>
                <w:bCs/>
              </w:rPr>
              <w:t>Households/communities/SMEs will be asked how many animals of different categories they own</w:t>
            </w:r>
            <w:r>
              <w:rPr>
                <w:bCs/>
              </w:rPr>
              <w:t>.</w:t>
            </w:r>
          </w:p>
          <w:p w14:paraId="338DA228" w14:textId="77777777" w:rsidR="00972DB7" w:rsidRPr="0022795A" w:rsidRDefault="00972DB7" w:rsidP="00AD281C">
            <w:pPr>
              <w:rPr>
                <w:sz w:val="20"/>
              </w:rPr>
            </w:pPr>
          </w:p>
        </w:tc>
      </w:tr>
      <w:tr w:rsidR="00972DB7" w:rsidRPr="000C7CA3" w14:paraId="631EC21C" w14:textId="77777777" w:rsidTr="00AD281C">
        <w:trPr>
          <w:cantSplit/>
          <w:jc w:val="center"/>
        </w:trPr>
        <w:tc>
          <w:tcPr>
            <w:tcW w:w="2696" w:type="dxa"/>
            <w:shd w:val="clear" w:color="auto" w:fill="D9D9D9"/>
            <w:tcMar>
              <w:top w:w="28" w:type="dxa"/>
              <w:left w:w="57" w:type="dxa"/>
              <w:bottom w:w="28" w:type="dxa"/>
              <w:right w:w="57" w:type="dxa"/>
            </w:tcMar>
            <w:vAlign w:val="center"/>
          </w:tcPr>
          <w:p w14:paraId="26DA2C4A" w14:textId="77777777" w:rsidR="00972DB7" w:rsidRPr="00D118BA" w:rsidRDefault="00972DB7" w:rsidP="00AD281C">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1AE1CA68" w14:textId="77777777" w:rsidR="00972DB7" w:rsidRPr="0022795A" w:rsidRDefault="00972DB7" w:rsidP="00AD281C">
            <w:pPr>
              <w:pStyle w:val="SDMTableBoxParaNotNumbered"/>
              <w:jc w:val="both"/>
            </w:pPr>
            <w:r>
              <w:rPr>
                <w:bCs/>
              </w:rPr>
              <w:t>Annual</w:t>
            </w:r>
          </w:p>
        </w:tc>
      </w:tr>
      <w:tr w:rsidR="00972DB7" w:rsidRPr="000C7CA3" w14:paraId="68E3B1BB" w14:textId="77777777" w:rsidTr="00AD281C">
        <w:trPr>
          <w:cantSplit/>
          <w:jc w:val="center"/>
        </w:trPr>
        <w:tc>
          <w:tcPr>
            <w:tcW w:w="2696" w:type="dxa"/>
            <w:shd w:val="clear" w:color="auto" w:fill="D9D9D9"/>
            <w:tcMar>
              <w:top w:w="28" w:type="dxa"/>
              <w:left w:w="57" w:type="dxa"/>
              <w:bottom w:w="28" w:type="dxa"/>
              <w:right w:w="57" w:type="dxa"/>
            </w:tcMar>
            <w:vAlign w:val="center"/>
          </w:tcPr>
          <w:p w14:paraId="2E098D35" w14:textId="77777777" w:rsidR="00972DB7" w:rsidRPr="00D118BA" w:rsidRDefault="00972DB7" w:rsidP="00AD281C">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3F7AE659" w14:textId="77777777" w:rsidR="00972DB7" w:rsidRPr="0022795A" w:rsidRDefault="00972DB7" w:rsidP="00AD281C">
            <w:pPr>
              <w:rPr>
                <w:sz w:val="20"/>
              </w:rPr>
            </w:pPr>
            <w:r w:rsidRPr="0022795A">
              <w:rPr>
                <w:sz w:val="20"/>
              </w:rPr>
              <w:t>N/A</w:t>
            </w:r>
          </w:p>
        </w:tc>
      </w:tr>
      <w:tr w:rsidR="00972DB7" w:rsidRPr="000C7CA3" w14:paraId="79FA50CD" w14:textId="77777777" w:rsidTr="00AD281C">
        <w:trPr>
          <w:cantSplit/>
          <w:jc w:val="center"/>
        </w:trPr>
        <w:tc>
          <w:tcPr>
            <w:tcW w:w="2696" w:type="dxa"/>
            <w:shd w:val="clear" w:color="auto" w:fill="D9D9D9"/>
            <w:tcMar>
              <w:top w:w="28" w:type="dxa"/>
              <w:left w:w="57" w:type="dxa"/>
              <w:bottom w:w="28" w:type="dxa"/>
              <w:right w:w="57" w:type="dxa"/>
            </w:tcMar>
            <w:vAlign w:val="center"/>
          </w:tcPr>
          <w:p w14:paraId="02264521" w14:textId="77777777" w:rsidR="00972DB7" w:rsidRPr="00D118BA" w:rsidRDefault="00972DB7" w:rsidP="00AD281C">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1136AF93" w14:textId="77777777" w:rsidR="00972DB7" w:rsidRPr="0022795A" w:rsidRDefault="00972DB7" w:rsidP="00AD281C">
            <w:pPr>
              <w:rPr>
                <w:sz w:val="20"/>
              </w:rPr>
            </w:pPr>
            <w:r w:rsidRPr="0022795A">
              <w:rPr>
                <w:bCs/>
                <w:sz w:val="20"/>
              </w:rPr>
              <w:t>Calculation of baseline emissions</w:t>
            </w:r>
          </w:p>
        </w:tc>
      </w:tr>
      <w:tr w:rsidR="00972DB7" w:rsidRPr="000C7CA3" w14:paraId="406CBD56" w14:textId="77777777" w:rsidTr="00AD281C">
        <w:trPr>
          <w:cantSplit/>
          <w:jc w:val="center"/>
        </w:trPr>
        <w:tc>
          <w:tcPr>
            <w:tcW w:w="2696" w:type="dxa"/>
            <w:shd w:val="clear" w:color="auto" w:fill="D9D9D9"/>
            <w:tcMar>
              <w:top w:w="28" w:type="dxa"/>
              <w:left w:w="57" w:type="dxa"/>
              <w:bottom w:w="28" w:type="dxa"/>
              <w:right w:w="57" w:type="dxa"/>
            </w:tcMar>
            <w:vAlign w:val="center"/>
          </w:tcPr>
          <w:p w14:paraId="12FAB45F" w14:textId="77777777" w:rsidR="00972DB7" w:rsidRPr="00D118BA" w:rsidRDefault="00972DB7" w:rsidP="00AD281C">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36E66991" w14:textId="77777777" w:rsidR="00972DB7" w:rsidRPr="0022795A" w:rsidRDefault="00972DB7" w:rsidP="00AD281C">
            <w:pPr>
              <w:rPr>
                <w:sz w:val="20"/>
              </w:rPr>
            </w:pPr>
            <w:r w:rsidRPr="0022795A">
              <w:rPr>
                <w:sz w:val="20"/>
              </w:rPr>
              <w:t>N/A</w:t>
            </w:r>
          </w:p>
        </w:tc>
      </w:tr>
    </w:tbl>
    <w:p w14:paraId="26A86808" w14:textId="77777777" w:rsidR="00972DB7" w:rsidRDefault="00972DB7"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72DB7" w:rsidRPr="000C7CA3" w14:paraId="1C46C749" w14:textId="77777777" w:rsidTr="00AD281C">
        <w:trPr>
          <w:cantSplit/>
          <w:jc w:val="center"/>
        </w:trPr>
        <w:tc>
          <w:tcPr>
            <w:tcW w:w="2696" w:type="dxa"/>
            <w:shd w:val="clear" w:color="auto" w:fill="D9D9D9"/>
            <w:tcMar>
              <w:top w:w="28" w:type="dxa"/>
              <w:left w:w="57" w:type="dxa"/>
              <w:bottom w:w="28" w:type="dxa"/>
              <w:right w:w="57" w:type="dxa"/>
            </w:tcMar>
            <w:vAlign w:val="center"/>
          </w:tcPr>
          <w:p w14:paraId="25ABC1F1" w14:textId="77777777" w:rsidR="00972DB7" w:rsidRPr="00A76316" w:rsidRDefault="00972DB7" w:rsidP="00AD281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493BF585" w14:textId="77777777" w:rsidR="00972DB7" w:rsidRPr="0022795A" w:rsidRDefault="00972DB7" w:rsidP="00AD281C">
            <w:pPr>
              <w:rPr>
                <w:sz w:val="20"/>
              </w:rPr>
            </w:pPr>
            <w:r w:rsidRPr="0022795A">
              <w:rPr>
                <w:b/>
                <w:sz w:val="20"/>
              </w:rPr>
              <w:t>BB</w:t>
            </w:r>
            <w:r w:rsidRPr="0022795A">
              <w:rPr>
                <w:b/>
                <w:sz w:val="20"/>
                <w:vertAlign w:val="subscript"/>
              </w:rPr>
              <w:t>b ratio</w:t>
            </w:r>
          </w:p>
        </w:tc>
      </w:tr>
      <w:tr w:rsidR="00972DB7" w:rsidRPr="000C7CA3" w14:paraId="0A3A9451" w14:textId="77777777" w:rsidTr="00AD281C">
        <w:trPr>
          <w:cantSplit/>
          <w:jc w:val="center"/>
        </w:trPr>
        <w:tc>
          <w:tcPr>
            <w:tcW w:w="2696" w:type="dxa"/>
            <w:shd w:val="clear" w:color="auto" w:fill="D9D9D9"/>
            <w:tcMar>
              <w:top w:w="28" w:type="dxa"/>
              <w:left w:w="57" w:type="dxa"/>
              <w:bottom w:w="28" w:type="dxa"/>
              <w:right w:w="57" w:type="dxa"/>
            </w:tcMar>
            <w:vAlign w:val="center"/>
          </w:tcPr>
          <w:p w14:paraId="6257F86F" w14:textId="77777777" w:rsidR="00972DB7" w:rsidRPr="00D118BA" w:rsidRDefault="00972DB7" w:rsidP="00AD281C">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63E2AE03" w14:textId="77777777" w:rsidR="00972DB7" w:rsidRPr="0022795A" w:rsidRDefault="00972DB7" w:rsidP="00AD281C">
            <w:pPr>
              <w:rPr>
                <w:sz w:val="20"/>
              </w:rPr>
            </w:pPr>
            <w:r w:rsidRPr="0022795A">
              <w:rPr>
                <w:sz w:val="20"/>
              </w:rPr>
              <w:t>%</w:t>
            </w:r>
          </w:p>
        </w:tc>
      </w:tr>
      <w:tr w:rsidR="00972DB7" w:rsidRPr="000C7CA3" w14:paraId="4EEE694A" w14:textId="77777777" w:rsidTr="00AD281C">
        <w:trPr>
          <w:cantSplit/>
          <w:jc w:val="center"/>
        </w:trPr>
        <w:tc>
          <w:tcPr>
            <w:tcW w:w="2696" w:type="dxa"/>
            <w:shd w:val="clear" w:color="auto" w:fill="D9D9D9"/>
            <w:tcMar>
              <w:top w:w="28" w:type="dxa"/>
              <w:left w:w="57" w:type="dxa"/>
              <w:bottom w:w="28" w:type="dxa"/>
              <w:right w:w="57" w:type="dxa"/>
            </w:tcMar>
            <w:vAlign w:val="center"/>
          </w:tcPr>
          <w:p w14:paraId="04589822" w14:textId="77777777" w:rsidR="00972DB7" w:rsidRPr="00D118BA" w:rsidRDefault="00972DB7" w:rsidP="00AD281C">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55D10660" w14:textId="77777777" w:rsidR="00972DB7" w:rsidRPr="0022795A" w:rsidRDefault="00972DB7" w:rsidP="00AD281C">
            <w:pPr>
              <w:rPr>
                <w:sz w:val="20"/>
              </w:rPr>
            </w:pPr>
            <w:r w:rsidRPr="0022795A">
              <w:rPr>
                <w:sz w:val="20"/>
              </w:rPr>
              <w:t>Baseline scenario ratios</w:t>
            </w:r>
          </w:p>
        </w:tc>
      </w:tr>
      <w:tr w:rsidR="00972DB7" w:rsidRPr="000C7CA3" w14:paraId="6E5F5552" w14:textId="77777777" w:rsidTr="00AD281C">
        <w:trPr>
          <w:cantSplit/>
          <w:jc w:val="center"/>
        </w:trPr>
        <w:tc>
          <w:tcPr>
            <w:tcW w:w="2696" w:type="dxa"/>
            <w:shd w:val="clear" w:color="auto" w:fill="D9D9D9"/>
            <w:tcMar>
              <w:top w:w="28" w:type="dxa"/>
              <w:left w:w="57" w:type="dxa"/>
              <w:bottom w:w="28" w:type="dxa"/>
              <w:right w:w="57" w:type="dxa"/>
            </w:tcMar>
            <w:vAlign w:val="center"/>
          </w:tcPr>
          <w:p w14:paraId="2B4A229C" w14:textId="77777777" w:rsidR="00972DB7" w:rsidRPr="00D118BA" w:rsidRDefault="00972DB7" w:rsidP="00AD281C">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561E95A2" w14:textId="77777777" w:rsidR="00972DB7" w:rsidRPr="0022795A" w:rsidRDefault="003436B9" w:rsidP="00AD281C">
            <w:pPr>
              <w:rPr>
                <w:sz w:val="20"/>
                <w:highlight w:val="yellow"/>
              </w:rPr>
            </w:pPr>
            <w:r>
              <w:rPr>
                <w:sz w:val="20"/>
              </w:rPr>
              <w:t xml:space="preserve">ABC VPA1 KE MP2 Surveys + Analysis, sheet ‘Analysis A’ </w:t>
            </w:r>
          </w:p>
        </w:tc>
      </w:tr>
      <w:tr w:rsidR="00972DB7" w:rsidRPr="000C7CA3" w14:paraId="7CB1EAFF" w14:textId="77777777" w:rsidTr="00AD281C">
        <w:trPr>
          <w:cantSplit/>
          <w:jc w:val="center"/>
        </w:trPr>
        <w:tc>
          <w:tcPr>
            <w:tcW w:w="2696" w:type="dxa"/>
            <w:shd w:val="clear" w:color="auto" w:fill="D9D9D9"/>
            <w:tcMar>
              <w:top w:w="28" w:type="dxa"/>
              <w:left w:w="57" w:type="dxa"/>
              <w:bottom w:w="28" w:type="dxa"/>
              <w:right w:w="57" w:type="dxa"/>
            </w:tcMar>
            <w:vAlign w:val="center"/>
          </w:tcPr>
          <w:p w14:paraId="5A591317" w14:textId="77777777" w:rsidR="00972DB7" w:rsidRPr="00D118BA" w:rsidRDefault="00972DB7" w:rsidP="00AD281C">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263E2D34" w14:textId="77777777" w:rsidR="00972DB7" w:rsidRPr="009C6B29" w:rsidRDefault="00972DB7" w:rsidP="00AD281C">
            <w:pPr>
              <w:rPr>
                <w:sz w:val="20"/>
              </w:rPr>
            </w:pPr>
            <w:r w:rsidRPr="009C6B29">
              <w:rPr>
                <w:sz w:val="20"/>
              </w:rPr>
              <w:t>B1: households using firewood only = 53.3%</w:t>
            </w:r>
          </w:p>
          <w:p w14:paraId="3A58E12F" w14:textId="77777777" w:rsidR="00972DB7" w:rsidRPr="009C6B29" w:rsidRDefault="00972DB7" w:rsidP="00AD281C">
            <w:pPr>
              <w:rPr>
                <w:sz w:val="20"/>
              </w:rPr>
            </w:pPr>
            <w:r w:rsidRPr="009C6B29">
              <w:rPr>
                <w:sz w:val="20"/>
              </w:rPr>
              <w:t>B2: households using charcoal only = 13.3%</w:t>
            </w:r>
          </w:p>
          <w:p w14:paraId="7EC391E0" w14:textId="77777777" w:rsidR="00972DB7" w:rsidRDefault="00972DB7" w:rsidP="00AD281C">
            <w:pPr>
              <w:rPr>
                <w:sz w:val="20"/>
              </w:rPr>
            </w:pPr>
            <w:r w:rsidRPr="009C6B29">
              <w:rPr>
                <w:sz w:val="20"/>
              </w:rPr>
              <w:t xml:space="preserve">B3: households using firewood + charcoal </w:t>
            </w:r>
            <w:r>
              <w:rPr>
                <w:sz w:val="20"/>
              </w:rPr>
              <w:t>only = 26.7</w:t>
            </w:r>
            <w:r w:rsidRPr="009C6B29">
              <w:rPr>
                <w:sz w:val="20"/>
              </w:rPr>
              <w:t>%</w:t>
            </w:r>
          </w:p>
          <w:p w14:paraId="2FC03B5B" w14:textId="77777777" w:rsidR="00972DB7" w:rsidRPr="0022795A" w:rsidRDefault="00972DB7" w:rsidP="00AD281C">
            <w:pPr>
              <w:rPr>
                <w:sz w:val="20"/>
                <w:highlight w:val="yellow"/>
              </w:rPr>
            </w:pPr>
            <w:r>
              <w:rPr>
                <w:sz w:val="20"/>
              </w:rPr>
              <w:t>B4: Other = 6.7%</w:t>
            </w:r>
          </w:p>
        </w:tc>
      </w:tr>
      <w:tr w:rsidR="00972DB7" w:rsidRPr="000C7CA3" w14:paraId="54F68466" w14:textId="77777777" w:rsidTr="00AD281C">
        <w:trPr>
          <w:cantSplit/>
          <w:jc w:val="center"/>
        </w:trPr>
        <w:tc>
          <w:tcPr>
            <w:tcW w:w="2696" w:type="dxa"/>
            <w:shd w:val="clear" w:color="auto" w:fill="D9D9D9"/>
            <w:tcMar>
              <w:top w:w="28" w:type="dxa"/>
              <w:left w:w="57" w:type="dxa"/>
              <w:bottom w:w="28" w:type="dxa"/>
              <w:right w:w="57" w:type="dxa"/>
            </w:tcMar>
            <w:vAlign w:val="center"/>
          </w:tcPr>
          <w:p w14:paraId="509129C7" w14:textId="77777777" w:rsidR="00972DB7" w:rsidRPr="00D118BA" w:rsidRDefault="00972DB7" w:rsidP="00AD281C">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6BFC9BEB" w14:textId="77777777" w:rsidR="00972DB7" w:rsidRPr="001F645D" w:rsidRDefault="00972DB7" w:rsidP="00AD281C">
            <w:pPr>
              <w:autoSpaceDE w:val="0"/>
              <w:autoSpaceDN w:val="0"/>
              <w:adjustRightInd w:val="0"/>
              <w:jc w:val="left"/>
              <w:rPr>
                <w:sz w:val="20"/>
              </w:rPr>
            </w:pPr>
            <w:r w:rsidRPr="0022795A">
              <w:rPr>
                <w:sz w:val="20"/>
              </w:rPr>
              <w:t>Households/communities/SMEs will be asked which baseline scenario they fell into before receiving a biogas digester.</w:t>
            </w:r>
            <w:r>
              <w:rPr>
                <w:sz w:val="20"/>
              </w:rPr>
              <w:t xml:space="preserve"> </w:t>
            </w:r>
            <w:r w:rsidRPr="00956C76">
              <w:rPr>
                <w:rFonts w:eastAsia="MS Mincho" w:cs="Arial"/>
                <w:sz w:val="20"/>
                <w:lang w:eastAsia="nl-NL"/>
              </w:rPr>
              <w:t>The four baseline scenarios are defined</w:t>
            </w:r>
            <w:r>
              <w:rPr>
                <w:rFonts w:eastAsia="MS Mincho" w:cs="Arial"/>
                <w:sz w:val="20"/>
                <w:lang w:eastAsia="nl-NL"/>
              </w:rPr>
              <w:t xml:space="preserve"> </w:t>
            </w:r>
            <w:r w:rsidRPr="00956C76">
              <w:rPr>
                <w:rFonts w:eastAsia="MS Mincho" w:cs="Arial"/>
                <w:sz w:val="20"/>
                <w:lang w:eastAsia="nl-NL"/>
              </w:rPr>
              <w:t xml:space="preserve">by asking the households </w:t>
            </w:r>
            <w:r w:rsidRPr="00956C76">
              <w:rPr>
                <w:rFonts w:ascii="Arial-ItalicMT" w:eastAsia="MS Mincho" w:hAnsi="Arial-ItalicMT" w:cs="Arial-ItalicMT"/>
                <w:i/>
                <w:iCs/>
                <w:sz w:val="20"/>
                <w:lang w:eastAsia="nl-NL"/>
              </w:rPr>
              <w:t xml:space="preserve">“what is your primary fuel source for </w:t>
            </w:r>
            <w:r w:rsidRPr="00956C76">
              <w:rPr>
                <w:rFonts w:eastAsia="MS Mincho" w:cs="Arial"/>
                <w:i/>
                <w:iCs/>
                <w:sz w:val="20"/>
                <w:lang w:eastAsia="nl-NL"/>
              </w:rPr>
              <w:t>cooking</w:t>
            </w:r>
            <w:r>
              <w:rPr>
                <w:rFonts w:eastAsia="MS Mincho" w:cs="Arial"/>
                <w:i/>
                <w:iCs/>
                <w:sz w:val="20"/>
                <w:lang w:eastAsia="nl-NL"/>
              </w:rPr>
              <w:t xml:space="preserve"> </w:t>
            </w:r>
            <w:r w:rsidRPr="00956C76">
              <w:rPr>
                <w:rFonts w:ascii="Arial-ItalicMT" w:eastAsia="MS Mincho" w:hAnsi="Arial-ItalicMT" w:cs="Arial-ItalicMT"/>
                <w:i/>
                <w:iCs/>
                <w:sz w:val="20"/>
                <w:lang w:eastAsia="nl-NL"/>
              </w:rPr>
              <w:t>purposes?”</w:t>
            </w:r>
            <w:r w:rsidRPr="00956C76">
              <w:rPr>
                <w:rFonts w:eastAsia="MS Mincho" w:cs="Arial"/>
                <w:sz w:val="20"/>
                <w:lang w:eastAsia="nl-NL"/>
              </w:rPr>
              <w:t>. The purpose of this question is to allocate a household to a</w:t>
            </w:r>
            <w:r>
              <w:rPr>
                <w:rFonts w:eastAsia="MS Mincho" w:cs="Arial"/>
                <w:sz w:val="20"/>
                <w:lang w:eastAsia="nl-NL"/>
              </w:rPr>
              <w:t xml:space="preserve"> </w:t>
            </w:r>
            <w:r w:rsidRPr="00956C76">
              <w:rPr>
                <w:rFonts w:ascii="ArialMT" w:eastAsia="ArialMT" w:cs="ArialMT"/>
                <w:sz w:val="20"/>
                <w:lang w:eastAsia="nl-NL"/>
              </w:rPr>
              <w:t xml:space="preserve">baseline scenario, whereby </w:t>
            </w:r>
            <w:r w:rsidRPr="00956C76">
              <w:rPr>
                <w:rFonts w:ascii="ArialMT" w:eastAsia="ArialMT" w:cs="ArialMT" w:hint="eastAsia"/>
                <w:sz w:val="20"/>
                <w:lang w:eastAsia="nl-NL"/>
              </w:rPr>
              <w:t>‘</w:t>
            </w:r>
            <w:r w:rsidRPr="00956C76">
              <w:rPr>
                <w:rFonts w:ascii="ArialMT" w:eastAsia="ArialMT" w:cs="ArialMT"/>
                <w:sz w:val="20"/>
                <w:lang w:eastAsia="nl-NL"/>
              </w:rPr>
              <w:t>primary</w:t>
            </w:r>
            <w:r w:rsidRPr="00956C76">
              <w:rPr>
                <w:rFonts w:ascii="ArialMT" w:eastAsia="ArialMT" w:cs="ArialMT" w:hint="eastAsia"/>
                <w:sz w:val="20"/>
                <w:lang w:eastAsia="nl-NL"/>
              </w:rPr>
              <w:t>’</w:t>
            </w:r>
            <w:r w:rsidRPr="00956C76">
              <w:rPr>
                <w:rFonts w:ascii="ArialMT" w:eastAsia="ArialMT" w:cs="ArialMT"/>
                <w:sz w:val="20"/>
                <w:lang w:eastAsia="nl-NL"/>
              </w:rPr>
              <w:t xml:space="preserve"> fuel consumption is defined</w:t>
            </w:r>
            <w:r w:rsidRPr="001F645D">
              <w:rPr>
                <w:rFonts w:ascii="ArialMT" w:eastAsia="ArialMT" w:cs="ArialMT"/>
                <w:sz w:val="20"/>
                <w:lang w:eastAsia="nl-NL"/>
              </w:rPr>
              <w:t xml:space="preserve"> as that</w:t>
            </w:r>
            <w:r>
              <w:rPr>
                <w:rFonts w:ascii="ArialMT" w:eastAsia="ArialMT" w:cs="ArialMT"/>
                <w:sz w:val="20"/>
                <w:lang w:eastAsia="nl-NL"/>
              </w:rPr>
              <w:t xml:space="preserve"> </w:t>
            </w:r>
            <w:r w:rsidRPr="00956C76">
              <w:rPr>
                <w:rFonts w:ascii="ArialMT" w:eastAsia="ArialMT" w:cs="ArialMT"/>
                <w:sz w:val="20"/>
                <w:lang w:eastAsia="nl-NL"/>
              </w:rPr>
              <w:t>fuel</w:t>
            </w:r>
            <w:r>
              <w:rPr>
                <w:rFonts w:ascii="ArialMT" w:eastAsia="ArialMT" w:cs="ArialMT"/>
                <w:sz w:val="20"/>
                <w:lang w:eastAsia="nl-NL"/>
              </w:rPr>
              <w:t xml:space="preserve"> </w:t>
            </w:r>
            <w:r w:rsidRPr="00956C76">
              <w:rPr>
                <w:rFonts w:eastAsia="MS Mincho" w:cs="Arial"/>
                <w:sz w:val="20"/>
                <w:lang w:eastAsia="nl-NL"/>
              </w:rPr>
              <w:t>meeting more than 50% of their fuel needs for cooking purposes. The</w:t>
            </w:r>
            <w:r>
              <w:rPr>
                <w:rFonts w:eastAsia="MS Mincho" w:cs="Arial"/>
                <w:sz w:val="20"/>
                <w:lang w:eastAsia="nl-NL"/>
              </w:rPr>
              <w:t xml:space="preserve"> </w:t>
            </w:r>
            <w:r w:rsidRPr="00956C76">
              <w:rPr>
                <w:rFonts w:eastAsia="MS Mincho" w:cs="Arial"/>
                <w:sz w:val="20"/>
                <w:lang w:eastAsia="nl-NL"/>
              </w:rPr>
              <w:t xml:space="preserve">households that respond </w:t>
            </w:r>
            <w:r w:rsidRPr="00956C76">
              <w:rPr>
                <w:rFonts w:ascii="Arial-ItalicMT" w:eastAsia="MS Mincho" w:hAnsi="Arial-ItalicMT" w:cs="Arial-ItalicMT"/>
                <w:i/>
                <w:iCs/>
                <w:sz w:val="20"/>
                <w:lang w:eastAsia="nl-NL"/>
              </w:rPr>
              <w:t>“firewood”</w:t>
            </w:r>
            <w:r w:rsidRPr="00956C76">
              <w:rPr>
                <w:rFonts w:eastAsia="MS Mincho" w:cs="Arial"/>
                <w:sz w:val="20"/>
                <w:lang w:eastAsia="nl-NL"/>
              </w:rPr>
              <w:t>, for example, are subsequently allocated to</w:t>
            </w:r>
            <w:r>
              <w:rPr>
                <w:rFonts w:eastAsia="MS Mincho" w:cs="Arial"/>
                <w:sz w:val="20"/>
                <w:lang w:eastAsia="nl-NL"/>
              </w:rPr>
              <w:t xml:space="preserve"> </w:t>
            </w:r>
            <w:r w:rsidRPr="00956C76">
              <w:rPr>
                <w:rFonts w:eastAsia="MS Mincho" w:cs="Arial"/>
                <w:sz w:val="20"/>
                <w:lang w:eastAsia="nl-NL"/>
              </w:rPr>
              <w:t>the baseline scenario b1. This means that households in, for example, baseline</w:t>
            </w:r>
            <w:r>
              <w:rPr>
                <w:rFonts w:eastAsia="MS Mincho" w:cs="Arial"/>
                <w:sz w:val="20"/>
                <w:lang w:eastAsia="nl-NL"/>
              </w:rPr>
              <w:t xml:space="preserve"> </w:t>
            </w:r>
            <w:r w:rsidRPr="00956C76">
              <w:rPr>
                <w:rFonts w:eastAsia="MS Mincho" w:cs="Arial"/>
                <w:sz w:val="20"/>
                <w:lang w:eastAsia="nl-NL"/>
              </w:rPr>
              <w:t>scenario b1 may also use small amounts of fossil fuels (i.e. secondary and</w:t>
            </w:r>
            <w:r>
              <w:rPr>
                <w:rFonts w:eastAsia="MS Mincho" w:cs="Arial"/>
                <w:sz w:val="20"/>
                <w:lang w:eastAsia="nl-NL"/>
              </w:rPr>
              <w:t xml:space="preserve"> </w:t>
            </w:r>
            <w:r w:rsidRPr="00956C76">
              <w:rPr>
                <w:rFonts w:eastAsia="MS Mincho" w:cs="Arial"/>
                <w:sz w:val="20"/>
                <w:lang w:eastAsia="nl-NL"/>
              </w:rPr>
              <w:t>tertiary fuels) for cooking, which will be included in the baseline emissions.</w:t>
            </w:r>
          </w:p>
        </w:tc>
      </w:tr>
      <w:tr w:rsidR="00972DB7" w:rsidRPr="000C7CA3" w14:paraId="6431725F" w14:textId="77777777" w:rsidTr="00AD281C">
        <w:trPr>
          <w:cantSplit/>
          <w:jc w:val="center"/>
        </w:trPr>
        <w:tc>
          <w:tcPr>
            <w:tcW w:w="2696" w:type="dxa"/>
            <w:shd w:val="clear" w:color="auto" w:fill="D9D9D9"/>
            <w:tcMar>
              <w:top w:w="28" w:type="dxa"/>
              <w:left w:w="57" w:type="dxa"/>
              <w:bottom w:w="28" w:type="dxa"/>
              <w:right w:w="57" w:type="dxa"/>
            </w:tcMar>
            <w:vAlign w:val="center"/>
          </w:tcPr>
          <w:p w14:paraId="10422AFA" w14:textId="77777777" w:rsidR="00972DB7" w:rsidRPr="00D118BA" w:rsidRDefault="00972DB7" w:rsidP="00AD281C">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55777E34" w14:textId="77777777" w:rsidR="00972DB7" w:rsidRPr="0022795A" w:rsidRDefault="00972DB7" w:rsidP="00AD281C">
            <w:pPr>
              <w:rPr>
                <w:sz w:val="20"/>
              </w:rPr>
            </w:pPr>
            <w:r w:rsidRPr="0022795A">
              <w:rPr>
                <w:sz w:val="20"/>
              </w:rPr>
              <w:t>Annually</w:t>
            </w:r>
          </w:p>
        </w:tc>
      </w:tr>
      <w:tr w:rsidR="00972DB7" w:rsidRPr="000C7CA3" w14:paraId="730F5DEF" w14:textId="77777777" w:rsidTr="00AD281C">
        <w:trPr>
          <w:cantSplit/>
          <w:jc w:val="center"/>
        </w:trPr>
        <w:tc>
          <w:tcPr>
            <w:tcW w:w="2696" w:type="dxa"/>
            <w:shd w:val="clear" w:color="auto" w:fill="D9D9D9"/>
            <w:tcMar>
              <w:top w:w="28" w:type="dxa"/>
              <w:left w:w="57" w:type="dxa"/>
              <w:bottom w:w="28" w:type="dxa"/>
              <w:right w:w="57" w:type="dxa"/>
            </w:tcMar>
            <w:vAlign w:val="center"/>
          </w:tcPr>
          <w:p w14:paraId="57FD8C6A" w14:textId="77777777" w:rsidR="00972DB7" w:rsidRPr="00D118BA" w:rsidRDefault="00972DB7" w:rsidP="00AD281C">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3500998C" w14:textId="77777777" w:rsidR="00972DB7" w:rsidRPr="0022795A" w:rsidRDefault="00972DB7" w:rsidP="00AD281C">
            <w:pPr>
              <w:rPr>
                <w:sz w:val="20"/>
              </w:rPr>
            </w:pPr>
            <w:r w:rsidRPr="0022795A">
              <w:rPr>
                <w:sz w:val="20"/>
              </w:rPr>
              <w:t>To account for void responses and lack of availability of some households/communities/SMEs on the day of the survey, additional households should be questioned.</w:t>
            </w:r>
          </w:p>
        </w:tc>
      </w:tr>
      <w:tr w:rsidR="00972DB7" w:rsidRPr="000C7CA3" w14:paraId="1CCCD423" w14:textId="77777777" w:rsidTr="00AD281C">
        <w:trPr>
          <w:cantSplit/>
          <w:jc w:val="center"/>
        </w:trPr>
        <w:tc>
          <w:tcPr>
            <w:tcW w:w="2696" w:type="dxa"/>
            <w:shd w:val="clear" w:color="auto" w:fill="D9D9D9"/>
            <w:tcMar>
              <w:top w:w="28" w:type="dxa"/>
              <w:left w:w="57" w:type="dxa"/>
              <w:bottom w:w="28" w:type="dxa"/>
              <w:right w:w="57" w:type="dxa"/>
            </w:tcMar>
            <w:vAlign w:val="center"/>
          </w:tcPr>
          <w:p w14:paraId="2F937E01" w14:textId="77777777" w:rsidR="00972DB7" w:rsidRPr="00D118BA" w:rsidRDefault="00972DB7" w:rsidP="00AD281C">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4855C0A8" w14:textId="77777777" w:rsidR="00972DB7" w:rsidRPr="0022795A" w:rsidRDefault="00972DB7" w:rsidP="00AD281C">
            <w:pPr>
              <w:pStyle w:val="SDMTableBoxParaNotNumbered"/>
              <w:ind w:left="57"/>
              <w:jc w:val="both"/>
            </w:pPr>
            <w:r w:rsidRPr="0022795A">
              <w:t>Calculation of baseline emissions</w:t>
            </w:r>
          </w:p>
        </w:tc>
      </w:tr>
      <w:tr w:rsidR="00972DB7" w:rsidRPr="000C7CA3" w14:paraId="071BCA00" w14:textId="77777777" w:rsidTr="00AD281C">
        <w:trPr>
          <w:cantSplit/>
          <w:jc w:val="center"/>
        </w:trPr>
        <w:tc>
          <w:tcPr>
            <w:tcW w:w="2696" w:type="dxa"/>
            <w:shd w:val="clear" w:color="auto" w:fill="D9D9D9"/>
            <w:tcMar>
              <w:top w:w="28" w:type="dxa"/>
              <w:left w:w="57" w:type="dxa"/>
              <w:bottom w:w="28" w:type="dxa"/>
              <w:right w:w="57" w:type="dxa"/>
            </w:tcMar>
            <w:vAlign w:val="center"/>
          </w:tcPr>
          <w:p w14:paraId="78F2F3CA" w14:textId="77777777" w:rsidR="00972DB7" w:rsidRPr="00D118BA" w:rsidRDefault="00972DB7" w:rsidP="00AD281C">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1B7F8B9D" w14:textId="77777777" w:rsidR="00972DB7" w:rsidRPr="0022795A" w:rsidRDefault="00972DB7" w:rsidP="00AD281C">
            <w:pPr>
              <w:rPr>
                <w:sz w:val="20"/>
              </w:rPr>
            </w:pPr>
            <w:r w:rsidRPr="0022795A">
              <w:rPr>
                <w:sz w:val="20"/>
              </w:rPr>
              <w:t>The ratio to apply for each baseline scenario in the project population will be determined as part of the monitoring survey on a sampling basis. The survey results will be applied to the project population to calculate the emission reductions.</w:t>
            </w:r>
          </w:p>
        </w:tc>
      </w:tr>
    </w:tbl>
    <w:p w14:paraId="50210BCF" w14:textId="77777777" w:rsidR="00972DB7" w:rsidRDefault="00972DB7"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72DB7" w:rsidRPr="000C7CA3" w14:paraId="01B38CD5" w14:textId="77777777" w:rsidTr="00AD281C">
        <w:trPr>
          <w:cantSplit/>
          <w:jc w:val="center"/>
        </w:trPr>
        <w:tc>
          <w:tcPr>
            <w:tcW w:w="2696" w:type="dxa"/>
            <w:shd w:val="clear" w:color="auto" w:fill="D9D9D9"/>
            <w:tcMar>
              <w:top w:w="28" w:type="dxa"/>
              <w:left w:w="57" w:type="dxa"/>
              <w:bottom w:w="28" w:type="dxa"/>
              <w:right w:w="57" w:type="dxa"/>
            </w:tcMar>
            <w:vAlign w:val="center"/>
          </w:tcPr>
          <w:p w14:paraId="1ECEEBAD" w14:textId="77777777" w:rsidR="00972DB7" w:rsidRPr="00A76316" w:rsidRDefault="00972DB7" w:rsidP="00AD281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03341FC5" w14:textId="77777777" w:rsidR="00972DB7" w:rsidRPr="0022795A" w:rsidRDefault="00972DB7" w:rsidP="00AD281C">
            <w:pPr>
              <w:rPr>
                <w:sz w:val="20"/>
              </w:rPr>
            </w:pPr>
            <w:r w:rsidRPr="0022795A">
              <w:rPr>
                <w:b/>
                <w:bCs/>
                <w:sz w:val="20"/>
              </w:rPr>
              <w:t>BB</w:t>
            </w:r>
            <w:r>
              <w:rPr>
                <w:b/>
                <w:bCs/>
                <w:sz w:val="20"/>
                <w:vertAlign w:val="subscript"/>
              </w:rPr>
              <w:t>b</w:t>
            </w:r>
            <w:r w:rsidRPr="0022795A">
              <w:rPr>
                <w:b/>
                <w:bCs/>
                <w:sz w:val="20"/>
                <w:vertAlign w:val="subscript"/>
              </w:rPr>
              <w:t>1, bio</w:t>
            </w:r>
          </w:p>
        </w:tc>
      </w:tr>
      <w:tr w:rsidR="00972DB7" w:rsidRPr="000C7CA3" w14:paraId="3EE0B787" w14:textId="77777777" w:rsidTr="00AD281C">
        <w:trPr>
          <w:cantSplit/>
          <w:jc w:val="center"/>
        </w:trPr>
        <w:tc>
          <w:tcPr>
            <w:tcW w:w="2696" w:type="dxa"/>
            <w:shd w:val="clear" w:color="auto" w:fill="D9D9D9"/>
            <w:tcMar>
              <w:top w:w="28" w:type="dxa"/>
              <w:left w:w="57" w:type="dxa"/>
              <w:bottom w:w="28" w:type="dxa"/>
              <w:right w:w="57" w:type="dxa"/>
            </w:tcMar>
            <w:vAlign w:val="center"/>
          </w:tcPr>
          <w:p w14:paraId="602E66B3" w14:textId="77777777" w:rsidR="00972DB7" w:rsidRPr="00D118BA" w:rsidRDefault="00972DB7" w:rsidP="00AD281C">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6F26CF04" w14:textId="77777777" w:rsidR="00972DB7" w:rsidRPr="0022795A" w:rsidRDefault="00972DB7" w:rsidP="00AD281C">
            <w:pPr>
              <w:rPr>
                <w:sz w:val="20"/>
              </w:rPr>
            </w:pPr>
            <w:r w:rsidRPr="0022795A">
              <w:rPr>
                <w:bCs/>
                <w:sz w:val="20"/>
              </w:rPr>
              <w:t>Tonnes/year</w:t>
            </w:r>
          </w:p>
        </w:tc>
      </w:tr>
      <w:tr w:rsidR="00972DB7" w:rsidRPr="000C7CA3" w14:paraId="0B228B98" w14:textId="77777777" w:rsidTr="00AD281C">
        <w:trPr>
          <w:cantSplit/>
          <w:jc w:val="center"/>
        </w:trPr>
        <w:tc>
          <w:tcPr>
            <w:tcW w:w="2696" w:type="dxa"/>
            <w:shd w:val="clear" w:color="auto" w:fill="D9D9D9"/>
            <w:tcMar>
              <w:top w:w="28" w:type="dxa"/>
              <w:left w:w="57" w:type="dxa"/>
              <w:bottom w:w="28" w:type="dxa"/>
              <w:right w:w="57" w:type="dxa"/>
            </w:tcMar>
            <w:vAlign w:val="center"/>
          </w:tcPr>
          <w:p w14:paraId="4DED7F3F" w14:textId="77777777" w:rsidR="00972DB7" w:rsidRPr="00D118BA" w:rsidRDefault="00972DB7" w:rsidP="00AD281C">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2B377F7C" w14:textId="77777777" w:rsidR="00972DB7" w:rsidRPr="0022795A" w:rsidRDefault="00972DB7" w:rsidP="00972DB7">
            <w:pPr>
              <w:rPr>
                <w:sz w:val="20"/>
              </w:rPr>
            </w:pPr>
            <w:r w:rsidRPr="0022795A">
              <w:rPr>
                <w:bCs/>
                <w:sz w:val="20"/>
              </w:rPr>
              <w:t xml:space="preserve">Amount of woody biomass used in the </w:t>
            </w:r>
            <w:r>
              <w:rPr>
                <w:bCs/>
                <w:sz w:val="20"/>
              </w:rPr>
              <w:t>baseline scenario b</w:t>
            </w:r>
            <w:r w:rsidRPr="0022795A">
              <w:rPr>
                <w:bCs/>
                <w:sz w:val="20"/>
              </w:rPr>
              <w:t>1</w:t>
            </w:r>
          </w:p>
        </w:tc>
      </w:tr>
      <w:tr w:rsidR="00972DB7" w:rsidRPr="000C7CA3" w14:paraId="5CE21C00" w14:textId="77777777" w:rsidTr="00AD281C">
        <w:trPr>
          <w:cantSplit/>
          <w:jc w:val="center"/>
        </w:trPr>
        <w:tc>
          <w:tcPr>
            <w:tcW w:w="2696" w:type="dxa"/>
            <w:shd w:val="clear" w:color="auto" w:fill="D9D9D9"/>
            <w:tcMar>
              <w:top w:w="28" w:type="dxa"/>
              <w:left w:w="57" w:type="dxa"/>
              <w:bottom w:w="28" w:type="dxa"/>
              <w:right w:w="57" w:type="dxa"/>
            </w:tcMar>
            <w:vAlign w:val="center"/>
          </w:tcPr>
          <w:p w14:paraId="47520E00" w14:textId="77777777" w:rsidR="00972DB7" w:rsidRPr="009C6B29" w:rsidRDefault="00972DB7" w:rsidP="00AD281C">
            <w:pPr>
              <w:rPr>
                <w:sz w:val="20"/>
              </w:rPr>
            </w:pPr>
            <w:r w:rsidRPr="009C6B29">
              <w:rPr>
                <w:sz w:val="20"/>
              </w:rPr>
              <w:t>Source of data</w:t>
            </w:r>
          </w:p>
        </w:tc>
        <w:tc>
          <w:tcPr>
            <w:tcW w:w="6933" w:type="dxa"/>
            <w:shd w:val="clear" w:color="auto" w:fill="auto"/>
            <w:tcMar>
              <w:top w:w="28" w:type="dxa"/>
              <w:left w:w="57" w:type="dxa"/>
              <w:bottom w:w="28" w:type="dxa"/>
              <w:right w:w="57" w:type="dxa"/>
            </w:tcMar>
            <w:vAlign w:val="center"/>
          </w:tcPr>
          <w:p w14:paraId="31EFF04A" w14:textId="77777777" w:rsidR="00972DB7" w:rsidRPr="009C6B29" w:rsidRDefault="00972DB7" w:rsidP="00AD281C">
            <w:pPr>
              <w:rPr>
                <w:sz w:val="20"/>
              </w:rPr>
            </w:pPr>
            <w:r w:rsidRPr="00BD0DCB">
              <w:rPr>
                <w:rFonts w:cs="Arial"/>
                <w:sz w:val="20"/>
              </w:rPr>
              <w:t>KPT primary data 29Sept2015 B1(firewood) (post-review), sheet ‘90/30 test’</w:t>
            </w:r>
          </w:p>
        </w:tc>
      </w:tr>
      <w:tr w:rsidR="00972DB7" w:rsidRPr="000C7CA3" w14:paraId="24DBAA71" w14:textId="77777777" w:rsidTr="00AD281C">
        <w:trPr>
          <w:cantSplit/>
          <w:jc w:val="center"/>
        </w:trPr>
        <w:tc>
          <w:tcPr>
            <w:tcW w:w="2696" w:type="dxa"/>
            <w:shd w:val="clear" w:color="auto" w:fill="D9D9D9"/>
            <w:tcMar>
              <w:top w:w="28" w:type="dxa"/>
              <w:left w:w="57" w:type="dxa"/>
              <w:bottom w:w="28" w:type="dxa"/>
              <w:right w:w="57" w:type="dxa"/>
            </w:tcMar>
            <w:vAlign w:val="center"/>
          </w:tcPr>
          <w:p w14:paraId="69591306" w14:textId="77777777" w:rsidR="00972DB7" w:rsidRPr="00D118BA" w:rsidRDefault="00972DB7" w:rsidP="00AD281C">
            <w:pPr>
              <w:rPr>
                <w:sz w:val="20"/>
              </w:rPr>
            </w:pPr>
            <w:r w:rsidRPr="00D118BA">
              <w:rPr>
                <w:rFonts w:hint="eastAsia"/>
                <w:sz w:val="20"/>
              </w:rPr>
              <w:lastRenderedPageBreak/>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193BC405" w14:textId="77777777" w:rsidR="00972DB7" w:rsidRPr="0022795A" w:rsidRDefault="00972DB7" w:rsidP="00AD281C">
            <w:pPr>
              <w:rPr>
                <w:sz w:val="20"/>
              </w:rPr>
            </w:pPr>
            <w:r>
              <w:rPr>
                <w:sz w:val="20"/>
              </w:rPr>
              <w:t>3.659</w:t>
            </w:r>
          </w:p>
        </w:tc>
      </w:tr>
      <w:tr w:rsidR="00972DB7" w:rsidRPr="000C7CA3" w14:paraId="1A804095" w14:textId="77777777" w:rsidTr="00AD281C">
        <w:trPr>
          <w:cantSplit/>
          <w:jc w:val="center"/>
        </w:trPr>
        <w:tc>
          <w:tcPr>
            <w:tcW w:w="2696" w:type="dxa"/>
            <w:shd w:val="clear" w:color="auto" w:fill="D9D9D9"/>
            <w:tcMar>
              <w:top w:w="28" w:type="dxa"/>
              <w:left w:w="57" w:type="dxa"/>
              <w:bottom w:w="28" w:type="dxa"/>
              <w:right w:w="57" w:type="dxa"/>
            </w:tcMar>
            <w:vAlign w:val="center"/>
          </w:tcPr>
          <w:p w14:paraId="1A26747D" w14:textId="77777777" w:rsidR="00972DB7" w:rsidRPr="00D118BA" w:rsidRDefault="00972DB7" w:rsidP="00AD281C">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504FA52B" w14:textId="77777777" w:rsidR="00972DB7" w:rsidRPr="0022795A" w:rsidRDefault="00972DB7" w:rsidP="00972DB7">
            <w:pPr>
              <w:rPr>
                <w:sz w:val="20"/>
              </w:rPr>
            </w:pPr>
            <w:r w:rsidRPr="00E35A9D">
              <w:rPr>
                <w:rFonts w:eastAsia="MS Mincho" w:cs="Arial"/>
                <w:sz w:val="20"/>
                <w:lang w:eastAsia="nl-NL"/>
              </w:rPr>
              <w:t>Fixed baseline through Baseline Fuel Test</w:t>
            </w:r>
            <w:r>
              <w:rPr>
                <w:rFonts w:eastAsia="MS Mincho" w:cs="Arial"/>
                <w:sz w:val="20"/>
                <w:lang w:eastAsia="nl-NL"/>
              </w:rPr>
              <w:t xml:space="preserve">. </w:t>
            </w:r>
            <w:r w:rsidRPr="00E35A9D">
              <w:rPr>
                <w:bCs/>
                <w:sz w:val="20"/>
              </w:rPr>
              <w:t>H</w:t>
            </w:r>
            <w:r w:rsidRPr="00972DB7">
              <w:rPr>
                <w:bCs/>
                <w:sz w:val="20"/>
              </w:rPr>
              <w:t>ouseholds</w:t>
            </w:r>
            <w:r w:rsidRPr="0022795A">
              <w:rPr>
                <w:bCs/>
                <w:sz w:val="20"/>
              </w:rPr>
              <w:t>/communities/SMEs have been asked how much woody biomass</w:t>
            </w:r>
            <w:r>
              <w:rPr>
                <w:bCs/>
                <w:sz w:val="20"/>
              </w:rPr>
              <w:t xml:space="preserve"> they use</w:t>
            </w:r>
            <w:r w:rsidRPr="0022795A">
              <w:rPr>
                <w:bCs/>
                <w:sz w:val="20"/>
              </w:rPr>
              <w:t>, and undergo</w:t>
            </w:r>
            <w:r>
              <w:rPr>
                <w:bCs/>
                <w:sz w:val="20"/>
              </w:rPr>
              <w:t>ne</w:t>
            </w:r>
            <w:r w:rsidRPr="0022795A">
              <w:rPr>
                <w:bCs/>
                <w:sz w:val="20"/>
              </w:rPr>
              <w:t xml:space="preserve"> a Kitchen Performance Test as per the requirements of the TPDDTEC methodology.</w:t>
            </w:r>
          </w:p>
        </w:tc>
      </w:tr>
      <w:tr w:rsidR="00972DB7" w:rsidRPr="000C7CA3" w14:paraId="21A76A68" w14:textId="77777777" w:rsidTr="00AD281C">
        <w:trPr>
          <w:cantSplit/>
          <w:jc w:val="center"/>
        </w:trPr>
        <w:tc>
          <w:tcPr>
            <w:tcW w:w="2696" w:type="dxa"/>
            <w:shd w:val="clear" w:color="auto" w:fill="D9D9D9"/>
            <w:tcMar>
              <w:top w:w="28" w:type="dxa"/>
              <w:left w:w="57" w:type="dxa"/>
              <w:bottom w:w="28" w:type="dxa"/>
              <w:right w:w="57" w:type="dxa"/>
            </w:tcMar>
            <w:vAlign w:val="center"/>
          </w:tcPr>
          <w:p w14:paraId="453A656D" w14:textId="77777777" w:rsidR="00972DB7" w:rsidRPr="00D118BA" w:rsidRDefault="00972DB7" w:rsidP="00AD281C">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6C51E382" w14:textId="77777777" w:rsidR="00972DB7" w:rsidRPr="00E35A9D" w:rsidRDefault="00972DB7" w:rsidP="00972DB7">
            <w:pPr>
              <w:autoSpaceDE w:val="0"/>
              <w:autoSpaceDN w:val="0"/>
              <w:adjustRightInd w:val="0"/>
              <w:jc w:val="left"/>
              <w:rPr>
                <w:rFonts w:eastAsia="MS Mincho" w:cs="Arial"/>
                <w:sz w:val="20"/>
                <w:lang w:eastAsia="nl-NL"/>
              </w:rPr>
            </w:pPr>
            <w:r w:rsidRPr="00E35A9D">
              <w:rPr>
                <w:rFonts w:eastAsia="MS Mincho" w:cs="Arial"/>
                <w:sz w:val="20"/>
                <w:lang w:eastAsia="nl-NL"/>
              </w:rPr>
              <w:t>Not applicable: Option B BFT conducted once upfront and parameter fixed</w:t>
            </w:r>
          </w:p>
          <w:p w14:paraId="1C91D50F" w14:textId="77777777" w:rsidR="00972DB7" w:rsidRPr="00972DB7" w:rsidRDefault="00972DB7" w:rsidP="00972DB7">
            <w:pPr>
              <w:rPr>
                <w:sz w:val="20"/>
              </w:rPr>
            </w:pPr>
            <w:r>
              <w:rPr>
                <w:rFonts w:eastAsia="MS Mincho" w:cs="Arial"/>
                <w:sz w:val="20"/>
                <w:lang w:val="nl-NL" w:eastAsia="nl-NL"/>
              </w:rPr>
              <w:t>throughout the crediting period.</w:t>
            </w:r>
          </w:p>
        </w:tc>
      </w:tr>
      <w:tr w:rsidR="00972DB7" w:rsidRPr="000C7CA3" w14:paraId="5DC8040F" w14:textId="77777777" w:rsidTr="00AD281C">
        <w:trPr>
          <w:cantSplit/>
          <w:jc w:val="center"/>
        </w:trPr>
        <w:tc>
          <w:tcPr>
            <w:tcW w:w="2696" w:type="dxa"/>
            <w:shd w:val="clear" w:color="auto" w:fill="D9D9D9"/>
            <w:tcMar>
              <w:top w:w="28" w:type="dxa"/>
              <w:left w:w="57" w:type="dxa"/>
              <w:bottom w:w="28" w:type="dxa"/>
              <w:right w:w="57" w:type="dxa"/>
            </w:tcMar>
            <w:vAlign w:val="center"/>
          </w:tcPr>
          <w:p w14:paraId="2EA9D5F9" w14:textId="77777777" w:rsidR="00972DB7" w:rsidRPr="00D118BA" w:rsidRDefault="00972DB7" w:rsidP="00AD281C">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44828228" w14:textId="77777777" w:rsidR="00972DB7" w:rsidRPr="0022795A" w:rsidRDefault="00972DB7" w:rsidP="00AD281C">
            <w:pPr>
              <w:rPr>
                <w:sz w:val="20"/>
              </w:rPr>
            </w:pPr>
            <w:r w:rsidRPr="0022795A">
              <w:rPr>
                <w:bCs/>
                <w:sz w:val="20"/>
              </w:rPr>
              <w:t>To account for void responses and lack of availability of some households/communities/SMEs on the day of the survey, at least 10 additional households should be questioned.</w:t>
            </w:r>
          </w:p>
        </w:tc>
      </w:tr>
      <w:tr w:rsidR="00972DB7" w:rsidRPr="000C7CA3" w14:paraId="1BCCF8BB" w14:textId="77777777" w:rsidTr="00AD281C">
        <w:trPr>
          <w:cantSplit/>
          <w:jc w:val="center"/>
        </w:trPr>
        <w:tc>
          <w:tcPr>
            <w:tcW w:w="2696" w:type="dxa"/>
            <w:shd w:val="clear" w:color="auto" w:fill="D9D9D9"/>
            <w:tcMar>
              <w:top w:w="28" w:type="dxa"/>
              <w:left w:w="57" w:type="dxa"/>
              <w:bottom w:w="28" w:type="dxa"/>
              <w:right w:w="57" w:type="dxa"/>
            </w:tcMar>
            <w:vAlign w:val="center"/>
          </w:tcPr>
          <w:p w14:paraId="5D5090E2" w14:textId="77777777" w:rsidR="00972DB7" w:rsidRPr="00D118BA" w:rsidRDefault="00972DB7" w:rsidP="00AD281C">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76D31B58" w14:textId="77777777" w:rsidR="00972DB7" w:rsidRPr="0022795A" w:rsidRDefault="00972DB7" w:rsidP="00972DB7">
            <w:pPr>
              <w:rPr>
                <w:sz w:val="20"/>
              </w:rPr>
            </w:pPr>
            <w:r w:rsidRPr="0022795A">
              <w:rPr>
                <w:bCs/>
                <w:sz w:val="20"/>
              </w:rPr>
              <w:t xml:space="preserve">To calculate </w:t>
            </w:r>
            <w:r>
              <w:rPr>
                <w:bCs/>
                <w:sz w:val="20"/>
              </w:rPr>
              <w:t>baseline</w:t>
            </w:r>
            <w:r w:rsidRPr="0022795A">
              <w:rPr>
                <w:bCs/>
                <w:sz w:val="20"/>
              </w:rPr>
              <w:t xml:space="preserve"> emissions</w:t>
            </w:r>
          </w:p>
        </w:tc>
      </w:tr>
      <w:tr w:rsidR="00972DB7" w:rsidRPr="000C7CA3" w14:paraId="321F4C17" w14:textId="77777777" w:rsidTr="00AD281C">
        <w:trPr>
          <w:cantSplit/>
          <w:jc w:val="center"/>
        </w:trPr>
        <w:tc>
          <w:tcPr>
            <w:tcW w:w="2696" w:type="dxa"/>
            <w:shd w:val="clear" w:color="auto" w:fill="D9D9D9"/>
            <w:tcMar>
              <w:top w:w="28" w:type="dxa"/>
              <w:left w:w="57" w:type="dxa"/>
              <w:bottom w:w="28" w:type="dxa"/>
              <w:right w:w="57" w:type="dxa"/>
            </w:tcMar>
            <w:vAlign w:val="center"/>
          </w:tcPr>
          <w:p w14:paraId="216ED7DB" w14:textId="77777777" w:rsidR="00972DB7" w:rsidRPr="00D118BA" w:rsidRDefault="00972DB7" w:rsidP="00AD281C">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345BAFB2" w14:textId="77777777" w:rsidR="00972DB7" w:rsidRPr="00E35A9D" w:rsidRDefault="00972DB7" w:rsidP="00972DB7">
            <w:pPr>
              <w:autoSpaceDE w:val="0"/>
              <w:autoSpaceDN w:val="0"/>
              <w:adjustRightInd w:val="0"/>
              <w:jc w:val="left"/>
              <w:rPr>
                <w:rFonts w:eastAsia="MS Mincho" w:cs="Arial"/>
                <w:sz w:val="20"/>
                <w:lang w:eastAsia="nl-NL"/>
              </w:rPr>
            </w:pPr>
            <w:r w:rsidRPr="00E35A9D">
              <w:rPr>
                <w:rFonts w:eastAsia="MS Mincho" w:cs="Arial"/>
                <w:sz w:val="20"/>
                <w:lang w:eastAsia="nl-NL"/>
              </w:rPr>
              <w:t>As per Annex 5 of the Technologies and Practices to Displace Decentralized</w:t>
            </w:r>
          </w:p>
          <w:p w14:paraId="3C700FEA" w14:textId="77777777" w:rsidR="00972DB7" w:rsidRPr="0022795A" w:rsidRDefault="00972DB7" w:rsidP="00972DB7">
            <w:pPr>
              <w:rPr>
                <w:sz w:val="20"/>
              </w:rPr>
            </w:pPr>
            <w:r>
              <w:rPr>
                <w:rFonts w:eastAsia="MS Mincho" w:cs="Arial"/>
                <w:sz w:val="20"/>
                <w:lang w:val="nl-NL" w:eastAsia="nl-NL"/>
              </w:rPr>
              <w:t>Thermal Energy Consumption methodology.</w:t>
            </w:r>
          </w:p>
        </w:tc>
      </w:tr>
    </w:tbl>
    <w:p w14:paraId="75B6DE27" w14:textId="77777777" w:rsidR="00972DB7" w:rsidRDefault="00972DB7"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72DB7" w:rsidRPr="000C7CA3" w14:paraId="076AD969" w14:textId="77777777" w:rsidTr="00AD281C">
        <w:trPr>
          <w:cantSplit/>
          <w:jc w:val="center"/>
        </w:trPr>
        <w:tc>
          <w:tcPr>
            <w:tcW w:w="2696" w:type="dxa"/>
            <w:shd w:val="clear" w:color="auto" w:fill="D9D9D9"/>
            <w:tcMar>
              <w:top w:w="28" w:type="dxa"/>
              <w:left w:w="57" w:type="dxa"/>
              <w:bottom w:w="28" w:type="dxa"/>
              <w:right w:w="57" w:type="dxa"/>
            </w:tcMar>
            <w:vAlign w:val="center"/>
          </w:tcPr>
          <w:p w14:paraId="0375692B" w14:textId="77777777" w:rsidR="00972DB7" w:rsidRPr="00A76316" w:rsidRDefault="00972DB7" w:rsidP="00AD281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4A5058C8" w14:textId="77777777" w:rsidR="00972DB7" w:rsidRPr="0022795A" w:rsidRDefault="00972DB7" w:rsidP="00972DB7">
            <w:pPr>
              <w:rPr>
                <w:sz w:val="20"/>
              </w:rPr>
            </w:pPr>
            <w:r w:rsidRPr="0022795A">
              <w:rPr>
                <w:b/>
                <w:bCs/>
                <w:sz w:val="20"/>
              </w:rPr>
              <w:t>BB</w:t>
            </w:r>
            <w:r>
              <w:rPr>
                <w:b/>
                <w:bCs/>
                <w:sz w:val="20"/>
                <w:vertAlign w:val="subscript"/>
              </w:rPr>
              <w:t>b2</w:t>
            </w:r>
            <w:r w:rsidRPr="0022795A">
              <w:rPr>
                <w:b/>
                <w:bCs/>
                <w:sz w:val="20"/>
                <w:vertAlign w:val="subscript"/>
              </w:rPr>
              <w:t>, bio</w:t>
            </w:r>
          </w:p>
        </w:tc>
      </w:tr>
      <w:tr w:rsidR="00972DB7" w:rsidRPr="000C7CA3" w14:paraId="5475C06E" w14:textId="77777777" w:rsidTr="00AD281C">
        <w:trPr>
          <w:cantSplit/>
          <w:jc w:val="center"/>
        </w:trPr>
        <w:tc>
          <w:tcPr>
            <w:tcW w:w="2696" w:type="dxa"/>
            <w:shd w:val="clear" w:color="auto" w:fill="D9D9D9"/>
            <w:tcMar>
              <w:top w:w="28" w:type="dxa"/>
              <w:left w:w="57" w:type="dxa"/>
              <w:bottom w:w="28" w:type="dxa"/>
              <w:right w:w="57" w:type="dxa"/>
            </w:tcMar>
            <w:vAlign w:val="center"/>
          </w:tcPr>
          <w:p w14:paraId="29234213" w14:textId="77777777" w:rsidR="00972DB7" w:rsidRPr="00D118BA" w:rsidRDefault="00972DB7" w:rsidP="00AD281C">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48AA9DD5" w14:textId="77777777" w:rsidR="00972DB7" w:rsidRPr="0022795A" w:rsidRDefault="00972DB7" w:rsidP="00AD281C">
            <w:pPr>
              <w:rPr>
                <w:sz w:val="20"/>
              </w:rPr>
            </w:pPr>
            <w:r w:rsidRPr="0022795A">
              <w:rPr>
                <w:bCs/>
                <w:sz w:val="20"/>
              </w:rPr>
              <w:t>Tonnes/year</w:t>
            </w:r>
          </w:p>
        </w:tc>
      </w:tr>
      <w:tr w:rsidR="00972DB7" w:rsidRPr="000C7CA3" w14:paraId="3EE45D63" w14:textId="77777777" w:rsidTr="00AD281C">
        <w:trPr>
          <w:cantSplit/>
          <w:jc w:val="center"/>
        </w:trPr>
        <w:tc>
          <w:tcPr>
            <w:tcW w:w="2696" w:type="dxa"/>
            <w:shd w:val="clear" w:color="auto" w:fill="D9D9D9"/>
            <w:tcMar>
              <w:top w:w="28" w:type="dxa"/>
              <w:left w:w="57" w:type="dxa"/>
              <w:bottom w:w="28" w:type="dxa"/>
              <w:right w:w="57" w:type="dxa"/>
            </w:tcMar>
            <w:vAlign w:val="center"/>
          </w:tcPr>
          <w:p w14:paraId="446423D0" w14:textId="77777777" w:rsidR="00972DB7" w:rsidRPr="00D118BA" w:rsidRDefault="00972DB7" w:rsidP="00AD281C">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50BEB2F6" w14:textId="77777777" w:rsidR="00972DB7" w:rsidRPr="0022795A" w:rsidRDefault="00972DB7" w:rsidP="00AD281C">
            <w:pPr>
              <w:rPr>
                <w:sz w:val="20"/>
              </w:rPr>
            </w:pPr>
            <w:r w:rsidRPr="0022795A">
              <w:rPr>
                <w:bCs/>
                <w:sz w:val="20"/>
              </w:rPr>
              <w:t xml:space="preserve">Amount of woody biomass used in the </w:t>
            </w:r>
            <w:r>
              <w:rPr>
                <w:bCs/>
                <w:sz w:val="20"/>
              </w:rPr>
              <w:t>baseline scenario b2</w:t>
            </w:r>
          </w:p>
        </w:tc>
      </w:tr>
      <w:tr w:rsidR="00972DB7" w:rsidRPr="000C7CA3" w14:paraId="6F0F8F4B" w14:textId="77777777" w:rsidTr="00AD281C">
        <w:trPr>
          <w:cantSplit/>
          <w:jc w:val="center"/>
        </w:trPr>
        <w:tc>
          <w:tcPr>
            <w:tcW w:w="2696" w:type="dxa"/>
            <w:shd w:val="clear" w:color="auto" w:fill="D9D9D9"/>
            <w:tcMar>
              <w:top w:w="28" w:type="dxa"/>
              <w:left w:w="57" w:type="dxa"/>
              <w:bottom w:w="28" w:type="dxa"/>
              <w:right w:w="57" w:type="dxa"/>
            </w:tcMar>
            <w:vAlign w:val="center"/>
          </w:tcPr>
          <w:p w14:paraId="59DF6685" w14:textId="77777777" w:rsidR="00972DB7" w:rsidRPr="009C6B29" w:rsidRDefault="00972DB7" w:rsidP="00AD281C">
            <w:pPr>
              <w:rPr>
                <w:sz w:val="20"/>
              </w:rPr>
            </w:pPr>
            <w:r w:rsidRPr="009C6B29">
              <w:rPr>
                <w:sz w:val="20"/>
              </w:rPr>
              <w:t>Source of data</w:t>
            </w:r>
          </w:p>
        </w:tc>
        <w:tc>
          <w:tcPr>
            <w:tcW w:w="6933" w:type="dxa"/>
            <w:shd w:val="clear" w:color="auto" w:fill="auto"/>
            <w:tcMar>
              <w:top w:w="28" w:type="dxa"/>
              <w:left w:w="57" w:type="dxa"/>
              <w:bottom w:w="28" w:type="dxa"/>
              <w:right w:w="57" w:type="dxa"/>
            </w:tcMar>
            <w:vAlign w:val="center"/>
          </w:tcPr>
          <w:p w14:paraId="6A6CE810" w14:textId="77777777" w:rsidR="00972DB7" w:rsidRPr="009C6B29" w:rsidRDefault="00972DB7" w:rsidP="00AD281C">
            <w:pPr>
              <w:rPr>
                <w:sz w:val="20"/>
              </w:rPr>
            </w:pPr>
            <w:r w:rsidRPr="00DC09F1">
              <w:rPr>
                <w:rFonts w:cs="Arial"/>
                <w:sz w:val="20"/>
              </w:rPr>
              <w:t>20170322 B2 B3 BFT Results KE, sheet ‘B2 - 90|30 test'</w:t>
            </w:r>
          </w:p>
        </w:tc>
      </w:tr>
      <w:tr w:rsidR="00972DB7" w:rsidRPr="000C7CA3" w14:paraId="16824E8C" w14:textId="77777777" w:rsidTr="00AD281C">
        <w:trPr>
          <w:cantSplit/>
          <w:jc w:val="center"/>
        </w:trPr>
        <w:tc>
          <w:tcPr>
            <w:tcW w:w="2696" w:type="dxa"/>
            <w:shd w:val="clear" w:color="auto" w:fill="D9D9D9"/>
            <w:tcMar>
              <w:top w:w="28" w:type="dxa"/>
              <w:left w:w="57" w:type="dxa"/>
              <w:bottom w:w="28" w:type="dxa"/>
              <w:right w:w="57" w:type="dxa"/>
            </w:tcMar>
            <w:vAlign w:val="center"/>
          </w:tcPr>
          <w:p w14:paraId="42F91626" w14:textId="77777777" w:rsidR="00972DB7" w:rsidRPr="00D118BA" w:rsidRDefault="00972DB7" w:rsidP="00AD281C">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68D38AD7" w14:textId="77777777" w:rsidR="00972DB7" w:rsidRPr="0022795A" w:rsidRDefault="00972DB7" w:rsidP="00AD281C">
            <w:pPr>
              <w:rPr>
                <w:sz w:val="20"/>
              </w:rPr>
            </w:pPr>
            <w:r>
              <w:rPr>
                <w:sz w:val="20"/>
              </w:rPr>
              <w:t>7.48</w:t>
            </w:r>
          </w:p>
        </w:tc>
      </w:tr>
      <w:tr w:rsidR="00972DB7" w:rsidRPr="000C7CA3" w14:paraId="3A96874F" w14:textId="77777777" w:rsidTr="00AD281C">
        <w:trPr>
          <w:cantSplit/>
          <w:jc w:val="center"/>
        </w:trPr>
        <w:tc>
          <w:tcPr>
            <w:tcW w:w="2696" w:type="dxa"/>
            <w:shd w:val="clear" w:color="auto" w:fill="D9D9D9"/>
            <w:tcMar>
              <w:top w:w="28" w:type="dxa"/>
              <w:left w:w="57" w:type="dxa"/>
              <w:bottom w:w="28" w:type="dxa"/>
              <w:right w:w="57" w:type="dxa"/>
            </w:tcMar>
            <w:vAlign w:val="center"/>
          </w:tcPr>
          <w:p w14:paraId="200C0EAD" w14:textId="77777777" w:rsidR="00972DB7" w:rsidRPr="00D118BA" w:rsidRDefault="00972DB7" w:rsidP="00AD281C">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099BD712" w14:textId="77777777" w:rsidR="00972DB7" w:rsidRPr="0022795A" w:rsidRDefault="00972DB7" w:rsidP="00AD281C">
            <w:pPr>
              <w:rPr>
                <w:sz w:val="20"/>
              </w:rPr>
            </w:pPr>
            <w:r w:rsidRPr="00956C76">
              <w:rPr>
                <w:rFonts w:eastAsia="MS Mincho" w:cs="Arial"/>
                <w:sz w:val="20"/>
                <w:lang w:eastAsia="nl-NL"/>
              </w:rPr>
              <w:t>Fixed baseline through Baseline Fuel Test</w:t>
            </w:r>
            <w:r>
              <w:rPr>
                <w:rFonts w:eastAsia="MS Mincho" w:cs="Arial"/>
                <w:sz w:val="20"/>
                <w:lang w:eastAsia="nl-NL"/>
              </w:rPr>
              <w:t xml:space="preserve">. </w:t>
            </w:r>
            <w:r w:rsidRPr="00956C76">
              <w:rPr>
                <w:bCs/>
                <w:sz w:val="20"/>
              </w:rPr>
              <w:t>H</w:t>
            </w:r>
            <w:r w:rsidRPr="00972DB7">
              <w:rPr>
                <w:bCs/>
                <w:sz w:val="20"/>
              </w:rPr>
              <w:t>ouseholds</w:t>
            </w:r>
            <w:r w:rsidRPr="0022795A">
              <w:rPr>
                <w:bCs/>
                <w:sz w:val="20"/>
              </w:rPr>
              <w:t>/communities/SMEs have been asked how much woody biomass</w:t>
            </w:r>
            <w:r>
              <w:rPr>
                <w:bCs/>
                <w:sz w:val="20"/>
              </w:rPr>
              <w:t xml:space="preserve"> they use</w:t>
            </w:r>
            <w:r w:rsidRPr="0022795A">
              <w:rPr>
                <w:bCs/>
                <w:sz w:val="20"/>
              </w:rPr>
              <w:t>, and undergo</w:t>
            </w:r>
            <w:r>
              <w:rPr>
                <w:bCs/>
                <w:sz w:val="20"/>
              </w:rPr>
              <w:t>ne</w:t>
            </w:r>
            <w:r w:rsidRPr="0022795A">
              <w:rPr>
                <w:bCs/>
                <w:sz w:val="20"/>
              </w:rPr>
              <w:t xml:space="preserve"> a Kitchen Performance Test as per the requirements of the TPDDTEC methodology.</w:t>
            </w:r>
          </w:p>
        </w:tc>
      </w:tr>
      <w:tr w:rsidR="00972DB7" w:rsidRPr="000C7CA3" w14:paraId="3262E9F6" w14:textId="77777777" w:rsidTr="00AD281C">
        <w:trPr>
          <w:cantSplit/>
          <w:jc w:val="center"/>
        </w:trPr>
        <w:tc>
          <w:tcPr>
            <w:tcW w:w="2696" w:type="dxa"/>
            <w:shd w:val="clear" w:color="auto" w:fill="D9D9D9"/>
            <w:tcMar>
              <w:top w:w="28" w:type="dxa"/>
              <w:left w:w="57" w:type="dxa"/>
              <w:bottom w:w="28" w:type="dxa"/>
              <w:right w:w="57" w:type="dxa"/>
            </w:tcMar>
            <w:vAlign w:val="center"/>
          </w:tcPr>
          <w:p w14:paraId="3BD1BD43" w14:textId="77777777" w:rsidR="00972DB7" w:rsidRPr="00D118BA" w:rsidRDefault="00972DB7" w:rsidP="00AD281C">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78568BD4" w14:textId="77777777" w:rsidR="00972DB7" w:rsidRPr="00E35A9D" w:rsidRDefault="00972DB7" w:rsidP="00972DB7">
            <w:pPr>
              <w:autoSpaceDE w:val="0"/>
              <w:autoSpaceDN w:val="0"/>
              <w:adjustRightInd w:val="0"/>
              <w:jc w:val="left"/>
              <w:rPr>
                <w:rFonts w:eastAsia="MS Mincho" w:cs="Arial"/>
                <w:sz w:val="20"/>
                <w:lang w:eastAsia="nl-NL"/>
              </w:rPr>
            </w:pPr>
            <w:r w:rsidRPr="00E35A9D">
              <w:rPr>
                <w:rFonts w:eastAsia="MS Mincho" w:cs="Arial"/>
                <w:sz w:val="20"/>
                <w:lang w:eastAsia="nl-NL"/>
              </w:rPr>
              <w:t>Not applicable: Option B BFT conducted once upfront and parameter fixed</w:t>
            </w:r>
          </w:p>
          <w:p w14:paraId="2B3F31B6" w14:textId="77777777" w:rsidR="00972DB7" w:rsidRPr="00972DB7" w:rsidRDefault="00972DB7" w:rsidP="00972DB7">
            <w:pPr>
              <w:rPr>
                <w:sz w:val="20"/>
              </w:rPr>
            </w:pPr>
            <w:r>
              <w:rPr>
                <w:rFonts w:eastAsia="MS Mincho" w:cs="Arial"/>
                <w:sz w:val="20"/>
                <w:lang w:val="nl-NL" w:eastAsia="nl-NL"/>
              </w:rPr>
              <w:t>throughout the crediting period.</w:t>
            </w:r>
          </w:p>
        </w:tc>
      </w:tr>
      <w:tr w:rsidR="00972DB7" w:rsidRPr="000C7CA3" w14:paraId="613DBC46" w14:textId="77777777" w:rsidTr="00AD281C">
        <w:trPr>
          <w:cantSplit/>
          <w:jc w:val="center"/>
        </w:trPr>
        <w:tc>
          <w:tcPr>
            <w:tcW w:w="2696" w:type="dxa"/>
            <w:shd w:val="clear" w:color="auto" w:fill="D9D9D9"/>
            <w:tcMar>
              <w:top w:w="28" w:type="dxa"/>
              <w:left w:w="57" w:type="dxa"/>
              <w:bottom w:w="28" w:type="dxa"/>
              <w:right w:w="57" w:type="dxa"/>
            </w:tcMar>
            <w:vAlign w:val="center"/>
          </w:tcPr>
          <w:p w14:paraId="17B649DA" w14:textId="77777777" w:rsidR="00972DB7" w:rsidRPr="00D118BA" w:rsidRDefault="00972DB7" w:rsidP="00AD281C">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473BEE9C" w14:textId="77777777" w:rsidR="00972DB7" w:rsidRPr="0022795A" w:rsidRDefault="00972DB7" w:rsidP="00AD281C">
            <w:pPr>
              <w:rPr>
                <w:sz w:val="20"/>
              </w:rPr>
            </w:pPr>
            <w:r w:rsidRPr="0022795A">
              <w:rPr>
                <w:bCs/>
                <w:sz w:val="20"/>
              </w:rPr>
              <w:t>To account for void responses and lack of availability of some households/communities/SMEs on the day of the survey, at least 10 additional households should be questioned.</w:t>
            </w:r>
          </w:p>
        </w:tc>
      </w:tr>
      <w:tr w:rsidR="00972DB7" w:rsidRPr="000C7CA3" w14:paraId="140E35FF" w14:textId="77777777" w:rsidTr="00AD281C">
        <w:trPr>
          <w:cantSplit/>
          <w:jc w:val="center"/>
        </w:trPr>
        <w:tc>
          <w:tcPr>
            <w:tcW w:w="2696" w:type="dxa"/>
            <w:shd w:val="clear" w:color="auto" w:fill="D9D9D9"/>
            <w:tcMar>
              <w:top w:w="28" w:type="dxa"/>
              <w:left w:w="57" w:type="dxa"/>
              <w:bottom w:w="28" w:type="dxa"/>
              <w:right w:w="57" w:type="dxa"/>
            </w:tcMar>
            <w:vAlign w:val="center"/>
          </w:tcPr>
          <w:p w14:paraId="186CAEF6" w14:textId="77777777" w:rsidR="00972DB7" w:rsidRPr="00D118BA" w:rsidRDefault="00972DB7" w:rsidP="00AD281C">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1C80CB91" w14:textId="77777777" w:rsidR="00972DB7" w:rsidRPr="0022795A" w:rsidRDefault="00972DB7" w:rsidP="00AD281C">
            <w:pPr>
              <w:rPr>
                <w:sz w:val="20"/>
              </w:rPr>
            </w:pPr>
            <w:r w:rsidRPr="0022795A">
              <w:rPr>
                <w:bCs/>
                <w:sz w:val="20"/>
              </w:rPr>
              <w:t xml:space="preserve">To calculate </w:t>
            </w:r>
            <w:r>
              <w:rPr>
                <w:bCs/>
                <w:sz w:val="20"/>
              </w:rPr>
              <w:t>baseline</w:t>
            </w:r>
            <w:r w:rsidRPr="0022795A">
              <w:rPr>
                <w:bCs/>
                <w:sz w:val="20"/>
              </w:rPr>
              <w:t xml:space="preserve"> emissions</w:t>
            </w:r>
          </w:p>
        </w:tc>
      </w:tr>
      <w:tr w:rsidR="00972DB7" w:rsidRPr="000C7CA3" w14:paraId="22953078" w14:textId="77777777" w:rsidTr="00AD281C">
        <w:trPr>
          <w:cantSplit/>
          <w:jc w:val="center"/>
        </w:trPr>
        <w:tc>
          <w:tcPr>
            <w:tcW w:w="2696" w:type="dxa"/>
            <w:shd w:val="clear" w:color="auto" w:fill="D9D9D9"/>
            <w:tcMar>
              <w:top w:w="28" w:type="dxa"/>
              <w:left w:w="57" w:type="dxa"/>
              <w:bottom w:w="28" w:type="dxa"/>
              <w:right w:w="57" w:type="dxa"/>
            </w:tcMar>
            <w:vAlign w:val="center"/>
          </w:tcPr>
          <w:p w14:paraId="003A3395" w14:textId="77777777" w:rsidR="00972DB7" w:rsidRPr="00D118BA" w:rsidRDefault="00972DB7" w:rsidP="00AD281C">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53D99A98" w14:textId="77777777" w:rsidR="00972DB7" w:rsidRPr="00956C76" w:rsidRDefault="00972DB7" w:rsidP="00AD281C">
            <w:pPr>
              <w:autoSpaceDE w:val="0"/>
              <w:autoSpaceDN w:val="0"/>
              <w:adjustRightInd w:val="0"/>
              <w:jc w:val="left"/>
              <w:rPr>
                <w:rFonts w:eastAsia="MS Mincho" w:cs="Arial"/>
                <w:sz w:val="20"/>
                <w:lang w:eastAsia="nl-NL"/>
              </w:rPr>
            </w:pPr>
            <w:r w:rsidRPr="00956C76">
              <w:rPr>
                <w:rFonts w:eastAsia="MS Mincho" w:cs="Arial"/>
                <w:sz w:val="20"/>
                <w:lang w:eastAsia="nl-NL"/>
              </w:rPr>
              <w:t>As per Annex 5 of the Technologies and Practices to Displace Decentralized</w:t>
            </w:r>
          </w:p>
          <w:p w14:paraId="5E0C8D4A" w14:textId="77777777" w:rsidR="00972DB7" w:rsidRPr="0022795A" w:rsidRDefault="00972DB7" w:rsidP="00AD281C">
            <w:pPr>
              <w:rPr>
                <w:sz w:val="20"/>
              </w:rPr>
            </w:pPr>
            <w:r>
              <w:rPr>
                <w:rFonts w:eastAsia="MS Mincho" w:cs="Arial"/>
                <w:sz w:val="20"/>
                <w:lang w:val="nl-NL" w:eastAsia="nl-NL"/>
              </w:rPr>
              <w:t>Thermal Energy Consumption methodology.</w:t>
            </w:r>
          </w:p>
        </w:tc>
      </w:tr>
    </w:tbl>
    <w:p w14:paraId="5071243D" w14:textId="77777777" w:rsidR="00972DB7" w:rsidRDefault="00972DB7"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72DB7" w:rsidRPr="000C7CA3" w14:paraId="201084F2" w14:textId="77777777" w:rsidTr="00AD281C">
        <w:trPr>
          <w:cantSplit/>
          <w:jc w:val="center"/>
        </w:trPr>
        <w:tc>
          <w:tcPr>
            <w:tcW w:w="2696" w:type="dxa"/>
            <w:shd w:val="clear" w:color="auto" w:fill="D9D9D9"/>
            <w:tcMar>
              <w:top w:w="28" w:type="dxa"/>
              <w:left w:w="57" w:type="dxa"/>
              <w:bottom w:w="28" w:type="dxa"/>
              <w:right w:w="57" w:type="dxa"/>
            </w:tcMar>
            <w:vAlign w:val="center"/>
          </w:tcPr>
          <w:p w14:paraId="1F881E4A" w14:textId="77777777" w:rsidR="00972DB7" w:rsidRPr="00A76316" w:rsidRDefault="00972DB7" w:rsidP="00AD281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43FEC676" w14:textId="77777777" w:rsidR="00972DB7" w:rsidRPr="0022795A" w:rsidRDefault="00972DB7" w:rsidP="00AD281C">
            <w:pPr>
              <w:rPr>
                <w:sz w:val="20"/>
              </w:rPr>
            </w:pPr>
            <w:r w:rsidRPr="0022795A">
              <w:rPr>
                <w:b/>
                <w:bCs/>
                <w:sz w:val="20"/>
              </w:rPr>
              <w:t>BB</w:t>
            </w:r>
            <w:r>
              <w:rPr>
                <w:b/>
                <w:bCs/>
                <w:sz w:val="20"/>
                <w:vertAlign w:val="subscript"/>
              </w:rPr>
              <w:t>b3</w:t>
            </w:r>
            <w:r w:rsidRPr="0022795A">
              <w:rPr>
                <w:b/>
                <w:bCs/>
                <w:sz w:val="20"/>
                <w:vertAlign w:val="subscript"/>
              </w:rPr>
              <w:t>, bio</w:t>
            </w:r>
          </w:p>
        </w:tc>
      </w:tr>
      <w:tr w:rsidR="00972DB7" w:rsidRPr="000C7CA3" w14:paraId="190F7BAA" w14:textId="77777777" w:rsidTr="00AD281C">
        <w:trPr>
          <w:cantSplit/>
          <w:jc w:val="center"/>
        </w:trPr>
        <w:tc>
          <w:tcPr>
            <w:tcW w:w="2696" w:type="dxa"/>
            <w:shd w:val="clear" w:color="auto" w:fill="D9D9D9"/>
            <w:tcMar>
              <w:top w:w="28" w:type="dxa"/>
              <w:left w:w="57" w:type="dxa"/>
              <w:bottom w:w="28" w:type="dxa"/>
              <w:right w:w="57" w:type="dxa"/>
            </w:tcMar>
            <w:vAlign w:val="center"/>
          </w:tcPr>
          <w:p w14:paraId="34C8F6DB" w14:textId="77777777" w:rsidR="00972DB7" w:rsidRPr="00D118BA" w:rsidRDefault="00972DB7" w:rsidP="00AD281C">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1CB2F937" w14:textId="77777777" w:rsidR="00972DB7" w:rsidRPr="0022795A" w:rsidRDefault="00972DB7" w:rsidP="00AD281C">
            <w:pPr>
              <w:rPr>
                <w:sz w:val="20"/>
              </w:rPr>
            </w:pPr>
            <w:r w:rsidRPr="0022795A">
              <w:rPr>
                <w:bCs/>
                <w:sz w:val="20"/>
              </w:rPr>
              <w:t>Tonnes/year</w:t>
            </w:r>
          </w:p>
        </w:tc>
      </w:tr>
      <w:tr w:rsidR="00972DB7" w:rsidRPr="000C7CA3" w14:paraId="6F514D45" w14:textId="77777777" w:rsidTr="00AD281C">
        <w:trPr>
          <w:cantSplit/>
          <w:jc w:val="center"/>
        </w:trPr>
        <w:tc>
          <w:tcPr>
            <w:tcW w:w="2696" w:type="dxa"/>
            <w:shd w:val="clear" w:color="auto" w:fill="D9D9D9"/>
            <w:tcMar>
              <w:top w:w="28" w:type="dxa"/>
              <w:left w:w="57" w:type="dxa"/>
              <w:bottom w:w="28" w:type="dxa"/>
              <w:right w:w="57" w:type="dxa"/>
            </w:tcMar>
            <w:vAlign w:val="center"/>
          </w:tcPr>
          <w:p w14:paraId="0207E395" w14:textId="77777777" w:rsidR="00972DB7" w:rsidRPr="00D118BA" w:rsidRDefault="00972DB7" w:rsidP="00AD281C">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03B26ECC" w14:textId="77777777" w:rsidR="00972DB7" w:rsidRPr="0022795A" w:rsidRDefault="00972DB7" w:rsidP="00AD281C">
            <w:pPr>
              <w:rPr>
                <w:sz w:val="20"/>
              </w:rPr>
            </w:pPr>
            <w:r w:rsidRPr="0022795A">
              <w:rPr>
                <w:bCs/>
                <w:sz w:val="20"/>
              </w:rPr>
              <w:t xml:space="preserve">Amount of woody biomass used in the </w:t>
            </w:r>
            <w:r>
              <w:rPr>
                <w:bCs/>
                <w:sz w:val="20"/>
              </w:rPr>
              <w:t>baseline scenario b3</w:t>
            </w:r>
          </w:p>
        </w:tc>
      </w:tr>
      <w:tr w:rsidR="00972DB7" w:rsidRPr="000C7CA3" w14:paraId="58F6807F" w14:textId="77777777" w:rsidTr="00AD281C">
        <w:trPr>
          <w:cantSplit/>
          <w:jc w:val="center"/>
        </w:trPr>
        <w:tc>
          <w:tcPr>
            <w:tcW w:w="2696" w:type="dxa"/>
            <w:shd w:val="clear" w:color="auto" w:fill="D9D9D9"/>
            <w:tcMar>
              <w:top w:w="28" w:type="dxa"/>
              <w:left w:w="57" w:type="dxa"/>
              <w:bottom w:w="28" w:type="dxa"/>
              <w:right w:w="57" w:type="dxa"/>
            </w:tcMar>
            <w:vAlign w:val="center"/>
          </w:tcPr>
          <w:p w14:paraId="1D0E33A4" w14:textId="77777777" w:rsidR="00972DB7" w:rsidRPr="009C6B29" w:rsidRDefault="00972DB7" w:rsidP="00AD281C">
            <w:pPr>
              <w:rPr>
                <w:sz w:val="20"/>
              </w:rPr>
            </w:pPr>
            <w:r w:rsidRPr="009C6B29">
              <w:rPr>
                <w:sz w:val="20"/>
              </w:rPr>
              <w:t>Source of data</w:t>
            </w:r>
          </w:p>
        </w:tc>
        <w:tc>
          <w:tcPr>
            <w:tcW w:w="6933" w:type="dxa"/>
            <w:shd w:val="clear" w:color="auto" w:fill="auto"/>
            <w:tcMar>
              <w:top w:w="28" w:type="dxa"/>
              <w:left w:w="57" w:type="dxa"/>
              <w:bottom w:w="28" w:type="dxa"/>
              <w:right w:w="57" w:type="dxa"/>
            </w:tcMar>
            <w:vAlign w:val="center"/>
          </w:tcPr>
          <w:p w14:paraId="44DFCE34" w14:textId="77777777" w:rsidR="00972DB7" w:rsidRPr="009C6B29" w:rsidRDefault="00972DB7" w:rsidP="00AD281C">
            <w:pPr>
              <w:rPr>
                <w:sz w:val="20"/>
              </w:rPr>
            </w:pPr>
            <w:r w:rsidRPr="00DC09F1">
              <w:rPr>
                <w:rFonts w:cs="Arial"/>
                <w:sz w:val="20"/>
              </w:rPr>
              <w:t>20170322 B2 B3 BFT Results KE, sheet ‘B2 - 90|30 test'</w:t>
            </w:r>
          </w:p>
        </w:tc>
      </w:tr>
      <w:tr w:rsidR="00972DB7" w:rsidRPr="000C7CA3" w14:paraId="0CF4D8DE" w14:textId="77777777" w:rsidTr="00AD281C">
        <w:trPr>
          <w:cantSplit/>
          <w:jc w:val="center"/>
        </w:trPr>
        <w:tc>
          <w:tcPr>
            <w:tcW w:w="2696" w:type="dxa"/>
            <w:shd w:val="clear" w:color="auto" w:fill="D9D9D9"/>
            <w:tcMar>
              <w:top w:w="28" w:type="dxa"/>
              <w:left w:w="57" w:type="dxa"/>
              <w:bottom w:w="28" w:type="dxa"/>
              <w:right w:w="57" w:type="dxa"/>
            </w:tcMar>
            <w:vAlign w:val="center"/>
          </w:tcPr>
          <w:p w14:paraId="03AC7FA7" w14:textId="77777777" w:rsidR="00972DB7" w:rsidRPr="00D118BA" w:rsidRDefault="00972DB7" w:rsidP="00AD281C">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0BA9D248" w14:textId="77777777" w:rsidR="00972DB7" w:rsidRPr="0022795A" w:rsidRDefault="00972DB7" w:rsidP="00AD281C">
            <w:pPr>
              <w:rPr>
                <w:sz w:val="20"/>
              </w:rPr>
            </w:pPr>
            <w:r>
              <w:rPr>
                <w:sz w:val="20"/>
              </w:rPr>
              <w:t>7.062</w:t>
            </w:r>
          </w:p>
        </w:tc>
      </w:tr>
      <w:tr w:rsidR="00972DB7" w:rsidRPr="000C7CA3" w14:paraId="6C01C066" w14:textId="77777777" w:rsidTr="00AD281C">
        <w:trPr>
          <w:cantSplit/>
          <w:jc w:val="center"/>
        </w:trPr>
        <w:tc>
          <w:tcPr>
            <w:tcW w:w="2696" w:type="dxa"/>
            <w:shd w:val="clear" w:color="auto" w:fill="D9D9D9"/>
            <w:tcMar>
              <w:top w:w="28" w:type="dxa"/>
              <w:left w:w="57" w:type="dxa"/>
              <w:bottom w:w="28" w:type="dxa"/>
              <w:right w:w="57" w:type="dxa"/>
            </w:tcMar>
            <w:vAlign w:val="center"/>
          </w:tcPr>
          <w:p w14:paraId="283085C8" w14:textId="77777777" w:rsidR="00972DB7" w:rsidRPr="00D118BA" w:rsidRDefault="00972DB7" w:rsidP="00AD281C">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688907EB" w14:textId="77777777" w:rsidR="00972DB7" w:rsidRPr="0022795A" w:rsidRDefault="00972DB7" w:rsidP="00AD281C">
            <w:pPr>
              <w:rPr>
                <w:sz w:val="20"/>
              </w:rPr>
            </w:pPr>
            <w:r w:rsidRPr="00956C76">
              <w:rPr>
                <w:rFonts w:eastAsia="MS Mincho" w:cs="Arial"/>
                <w:sz w:val="20"/>
                <w:lang w:eastAsia="nl-NL"/>
              </w:rPr>
              <w:t>Fixed baseline through Baseline Fuel Test</w:t>
            </w:r>
            <w:r>
              <w:rPr>
                <w:rFonts w:eastAsia="MS Mincho" w:cs="Arial"/>
                <w:sz w:val="20"/>
                <w:lang w:eastAsia="nl-NL"/>
              </w:rPr>
              <w:t xml:space="preserve">. </w:t>
            </w:r>
            <w:r w:rsidRPr="00956C76">
              <w:rPr>
                <w:bCs/>
                <w:sz w:val="20"/>
              </w:rPr>
              <w:t>H</w:t>
            </w:r>
            <w:r w:rsidRPr="00972DB7">
              <w:rPr>
                <w:bCs/>
                <w:sz w:val="20"/>
              </w:rPr>
              <w:t>ouseholds</w:t>
            </w:r>
            <w:r w:rsidRPr="0022795A">
              <w:rPr>
                <w:bCs/>
                <w:sz w:val="20"/>
              </w:rPr>
              <w:t>/communities/SMEs have been asked how much woody biomass</w:t>
            </w:r>
            <w:r>
              <w:rPr>
                <w:bCs/>
                <w:sz w:val="20"/>
              </w:rPr>
              <w:t xml:space="preserve"> they use</w:t>
            </w:r>
            <w:r w:rsidRPr="0022795A">
              <w:rPr>
                <w:bCs/>
                <w:sz w:val="20"/>
              </w:rPr>
              <w:t>, and undergo</w:t>
            </w:r>
            <w:r>
              <w:rPr>
                <w:bCs/>
                <w:sz w:val="20"/>
              </w:rPr>
              <w:t>ne</w:t>
            </w:r>
            <w:r w:rsidRPr="0022795A">
              <w:rPr>
                <w:bCs/>
                <w:sz w:val="20"/>
              </w:rPr>
              <w:t xml:space="preserve"> a Kitchen Performance Test as per the requirements of the TPDDTEC methodology.</w:t>
            </w:r>
          </w:p>
        </w:tc>
      </w:tr>
      <w:tr w:rsidR="00972DB7" w:rsidRPr="000C7CA3" w14:paraId="14FB51E7" w14:textId="77777777" w:rsidTr="00AD281C">
        <w:trPr>
          <w:cantSplit/>
          <w:jc w:val="center"/>
        </w:trPr>
        <w:tc>
          <w:tcPr>
            <w:tcW w:w="2696" w:type="dxa"/>
            <w:shd w:val="clear" w:color="auto" w:fill="D9D9D9"/>
            <w:tcMar>
              <w:top w:w="28" w:type="dxa"/>
              <w:left w:w="57" w:type="dxa"/>
              <w:bottom w:w="28" w:type="dxa"/>
              <w:right w:w="57" w:type="dxa"/>
            </w:tcMar>
            <w:vAlign w:val="center"/>
          </w:tcPr>
          <w:p w14:paraId="1A3EF6D4" w14:textId="77777777" w:rsidR="00972DB7" w:rsidRPr="00D118BA" w:rsidRDefault="00972DB7" w:rsidP="00AD281C">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7C8FDA89" w14:textId="77777777" w:rsidR="00972DB7" w:rsidRPr="00E35A9D" w:rsidRDefault="00972DB7" w:rsidP="00972DB7">
            <w:pPr>
              <w:autoSpaceDE w:val="0"/>
              <w:autoSpaceDN w:val="0"/>
              <w:adjustRightInd w:val="0"/>
              <w:jc w:val="left"/>
              <w:rPr>
                <w:rFonts w:eastAsia="MS Mincho" w:cs="Arial"/>
                <w:sz w:val="20"/>
                <w:lang w:eastAsia="nl-NL"/>
              </w:rPr>
            </w:pPr>
            <w:r w:rsidRPr="00E35A9D">
              <w:rPr>
                <w:rFonts w:eastAsia="MS Mincho" w:cs="Arial"/>
                <w:sz w:val="20"/>
                <w:lang w:eastAsia="nl-NL"/>
              </w:rPr>
              <w:t>Not applicable: Option B BFT conducted once upfront and parameter fixed</w:t>
            </w:r>
          </w:p>
          <w:p w14:paraId="35BFAA76" w14:textId="77777777" w:rsidR="00972DB7" w:rsidRPr="00972DB7" w:rsidRDefault="00972DB7" w:rsidP="00972DB7">
            <w:pPr>
              <w:rPr>
                <w:sz w:val="20"/>
              </w:rPr>
            </w:pPr>
            <w:r>
              <w:rPr>
                <w:rFonts w:eastAsia="MS Mincho" w:cs="Arial"/>
                <w:sz w:val="20"/>
                <w:lang w:val="nl-NL" w:eastAsia="nl-NL"/>
              </w:rPr>
              <w:t>throughout the crediting period.</w:t>
            </w:r>
          </w:p>
        </w:tc>
      </w:tr>
      <w:tr w:rsidR="00972DB7" w:rsidRPr="000C7CA3" w14:paraId="5D402C99" w14:textId="77777777" w:rsidTr="00AD281C">
        <w:trPr>
          <w:cantSplit/>
          <w:jc w:val="center"/>
        </w:trPr>
        <w:tc>
          <w:tcPr>
            <w:tcW w:w="2696" w:type="dxa"/>
            <w:shd w:val="clear" w:color="auto" w:fill="D9D9D9"/>
            <w:tcMar>
              <w:top w:w="28" w:type="dxa"/>
              <w:left w:w="57" w:type="dxa"/>
              <w:bottom w:w="28" w:type="dxa"/>
              <w:right w:w="57" w:type="dxa"/>
            </w:tcMar>
            <w:vAlign w:val="center"/>
          </w:tcPr>
          <w:p w14:paraId="0881C704" w14:textId="77777777" w:rsidR="00972DB7" w:rsidRPr="00D118BA" w:rsidRDefault="00972DB7" w:rsidP="00AD281C">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75BC8B7D" w14:textId="77777777" w:rsidR="00972DB7" w:rsidRPr="0022795A" w:rsidRDefault="00972DB7" w:rsidP="00AD281C">
            <w:pPr>
              <w:rPr>
                <w:sz w:val="20"/>
              </w:rPr>
            </w:pPr>
            <w:r w:rsidRPr="0022795A">
              <w:rPr>
                <w:bCs/>
                <w:sz w:val="20"/>
              </w:rPr>
              <w:t>To account for void responses and lack of availability of some households/communities/SMEs on the day of the survey, at least 10 additional households should be questioned.</w:t>
            </w:r>
          </w:p>
        </w:tc>
      </w:tr>
      <w:tr w:rsidR="00972DB7" w:rsidRPr="000C7CA3" w14:paraId="18E172C1" w14:textId="77777777" w:rsidTr="00AD281C">
        <w:trPr>
          <w:cantSplit/>
          <w:jc w:val="center"/>
        </w:trPr>
        <w:tc>
          <w:tcPr>
            <w:tcW w:w="2696" w:type="dxa"/>
            <w:shd w:val="clear" w:color="auto" w:fill="D9D9D9"/>
            <w:tcMar>
              <w:top w:w="28" w:type="dxa"/>
              <w:left w:w="57" w:type="dxa"/>
              <w:bottom w:w="28" w:type="dxa"/>
              <w:right w:w="57" w:type="dxa"/>
            </w:tcMar>
            <w:vAlign w:val="center"/>
          </w:tcPr>
          <w:p w14:paraId="01FBE2E5" w14:textId="77777777" w:rsidR="00972DB7" w:rsidRPr="00D118BA" w:rsidRDefault="00972DB7" w:rsidP="00AD281C">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373C2197" w14:textId="77777777" w:rsidR="00972DB7" w:rsidRPr="0022795A" w:rsidRDefault="00972DB7" w:rsidP="00AD281C">
            <w:pPr>
              <w:rPr>
                <w:sz w:val="20"/>
              </w:rPr>
            </w:pPr>
            <w:r w:rsidRPr="0022795A">
              <w:rPr>
                <w:bCs/>
                <w:sz w:val="20"/>
              </w:rPr>
              <w:t xml:space="preserve">To calculate </w:t>
            </w:r>
            <w:r>
              <w:rPr>
                <w:bCs/>
                <w:sz w:val="20"/>
              </w:rPr>
              <w:t>baseline</w:t>
            </w:r>
            <w:r w:rsidRPr="0022795A">
              <w:rPr>
                <w:bCs/>
                <w:sz w:val="20"/>
              </w:rPr>
              <w:t xml:space="preserve"> emissions</w:t>
            </w:r>
          </w:p>
        </w:tc>
      </w:tr>
      <w:tr w:rsidR="00972DB7" w:rsidRPr="000C7CA3" w14:paraId="65DC4CE9" w14:textId="77777777" w:rsidTr="00AD281C">
        <w:trPr>
          <w:cantSplit/>
          <w:jc w:val="center"/>
        </w:trPr>
        <w:tc>
          <w:tcPr>
            <w:tcW w:w="2696" w:type="dxa"/>
            <w:shd w:val="clear" w:color="auto" w:fill="D9D9D9"/>
            <w:tcMar>
              <w:top w:w="28" w:type="dxa"/>
              <w:left w:w="57" w:type="dxa"/>
              <w:bottom w:w="28" w:type="dxa"/>
              <w:right w:w="57" w:type="dxa"/>
            </w:tcMar>
            <w:vAlign w:val="center"/>
          </w:tcPr>
          <w:p w14:paraId="1BFC18E0" w14:textId="77777777" w:rsidR="00972DB7" w:rsidRPr="00D118BA" w:rsidRDefault="00972DB7" w:rsidP="00AD281C">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31531D25" w14:textId="77777777" w:rsidR="00972DB7" w:rsidRPr="00956C76" w:rsidRDefault="00972DB7" w:rsidP="00AD281C">
            <w:pPr>
              <w:autoSpaceDE w:val="0"/>
              <w:autoSpaceDN w:val="0"/>
              <w:adjustRightInd w:val="0"/>
              <w:jc w:val="left"/>
              <w:rPr>
                <w:rFonts w:eastAsia="MS Mincho" w:cs="Arial"/>
                <w:sz w:val="20"/>
                <w:lang w:eastAsia="nl-NL"/>
              </w:rPr>
            </w:pPr>
            <w:r w:rsidRPr="00956C76">
              <w:rPr>
                <w:rFonts w:eastAsia="MS Mincho" w:cs="Arial"/>
                <w:sz w:val="20"/>
                <w:lang w:eastAsia="nl-NL"/>
              </w:rPr>
              <w:t>As per Annex 5 of the Technologies and Practices to Displace Decentralized</w:t>
            </w:r>
          </w:p>
          <w:p w14:paraId="5C91F120" w14:textId="77777777" w:rsidR="00972DB7" w:rsidRPr="0022795A" w:rsidRDefault="00972DB7" w:rsidP="00AD281C">
            <w:pPr>
              <w:rPr>
                <w:sz w:val="20"/>
              </w:rPr>
            </w:pPr>
            <w:r>
              <w:rPr>
                <w:rFonts w:eastAsia="MS Mincho" w:cs="Arial"/>
                <w:sz w:val="20"/>
                <w:lang w:val="nl-NL" w:eastAsia="nl-NL"/>
              </w:rPr>
              <w:t>Thermal Energy Consumption methodology.</w:t>
            </w:r>
          </w:p>
        </w:tc>
      </w:tr>
    </w:tbl>
    <w:p w14:paraId="4F7F8340" w14:textId="77777777" w:rsidR="00972DB7" w:rsidRDefault="00972DB7"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72DB7" w:rsidRPr="000C7CA3" w14:paraId="37905C1B" w14:textId="77777777" w:rsidTr="00AD281C">
        <w:trPr>
          <w:cantSplit/>
          <w:jc w:val="center"/>
        </w:trPr>
        <w:tc>
          <w:tcPr>
            <w:tcW w:w="2696" w:type="dxa"/>
            <w:shd w:val="clear" w:color="auto" w:fill="D9D9D9"/>
            <w:tcMar>
              <w:top w:w="28" w:type="dxa"/>
              <w:left w:w="57" w:type="dxa"/>
              <w:bottom w:w="28" w:type="dxa"/>
              <w:right w:w="57" w:type="dxa"/>
            </w:tcMar>
            <w:vAlign w:val="center"/>
          </w:tcPr>
          <w:p w14:paraId="69DB0AB6" w14:textId="77777777" w:rsidR="00972DB7" w:rsidRPr="00A76316" w:rsidRDefault="00972DB7" w:rsidP="00AD281C">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1336C781" w14:textId="77777777" w:rsidR="00972DB7" w:rsidRPr="0022795A" w:rsidRDefault="00972DB7" w:rsidP="00AD281C">
            <w:pPr>
              <w:rPr>
                <w:sz w:val="20"/>
              </w:rPr>
            </w:pPr>
            <w:r w:rsidRPr="0022795A">
              <w:rPr>
                <w:b/>
                <w:bCs/>
                <w:sz w:val="20"/>
              </w:rPr>
              <w:t>BB</w:t>
            </w:r>
            <w:r>
              <w:rPr>
                <w:b/>
                <w:bCs/>
                <w:sz w:val="20"/>
                <w:vertAlign w:val="subscript"/>
              </w:rPr>
              <w:t>b1,2,3</w:t>
            </w:r>
            <w:r w:rsidRPr="0022795A">
              <w:rPr>
                <w:b/>
                <w:bCs/>
                <w:sz w:val="20"/>
                <w:vertAlign w:val="subscript"/>
              </w:rPr>
              <w:t xml:space="preserve">, </w:t>
            </w:r>
            <w:r>
              <w:rPr>
                <w:b/>
                <w:bCs/>
                <w:sz w:val="20"/>
                <w:vertAlign w:val="subscript"/>
              </w:rPr>
              <w:t>fuel</w:t>
            </w:r>
          </w:p>
        </w:tc>
      </w:tr>
      <w:tr w:rsidR="00972DB7" w:rsidRPr="000C7CA3" w14:paraId="73B07C05" w14:textId="77777777" w:rsidTr="00AD281C">
        <w:trPr>
          <w:cantSplit/>
          <w:jc w:val="center"/>
        </w:trPr>
        <w:tc>
          <w:tcPr>
            <w:tcW w:w="2696" w:type="dxa"/>
            <w:shd w:val="clear" w:color="auto" w:fill="D9D9D9"/>
            <w:tcMar>
              <w:top w:w="28" w:type="dxa"/>
              <w:left w:w="57" w:type="dxa"/>
              <w:bottom w:w="28" w:type="dxa"/>
              <w:right w:w="57" w:type="dxa"/>
            </w:tcMar>
            <w:vAlign w:val="center"/>
          </w:tcPr>
          <w:p w14:paraId="382A5326" w14:textId="77777777" w:rsidR="00972DB7" w:rsidRPr="00D118BA" w:rsidRDefault="00972DB7" w:rsidP="00AD281C">
            <w:pPr>
              <w:rPr>
                <w:sz w:val="20"/>
              </w:rPr>
            </w:pPr>
            <w:r>
              <w:rPr>
                <w:sz w:val="20"/>
              </w:rPr>
              <w:lastRenderedPageBreak/>
              <w:t>Data u</w:t>
            </w:r>
            <w:r w:rsidRPr="00D118BA">
              <w:rPr>
                <w:sz w:val="20"/>
              </w:rPr>
              <w:t>nit</w:t>
            </w:r>
          </w:p>
        </w:tc>
        <w:tc>
          <w:tcPr>
            <w:tcW w:w="6933" w:type="dxa"/>
            <w:shd w:val="clear" w:color="auto" w:fill="auto"/>
            <w:tcMar>
              <w:top w:w="28" w:type="dxa"/>
              <w:left w:w="57" w:type="dxa"/>
              <w:bottom w:w="28" w:type="dxa"/>
              <w:right w:w="57" w:type="dxa"/>
            </w:tcMar>
            <w:vAlign w:val="center"/>
          </w:tcPr>
          <w:p w14:paraId="4AC49C64" w14:textId="77777777" w:rsidR="00972DB7" w:rsidRPr="0022795A" w:rsidRDefault="00972DB7" w:rsidP="00AD281C">
            <w:pPr>
              <w:rPr>
                <w:sz w:val="20"/>
              </w:rPr>
            </w:pPr>
            <w:r w:rsidRPr="0022795A">
              <w:rPr>
                <w:bCs/>
                <w:sz w:val="20"/>
              </w:rPr>
              <w:t>Tonnes/year</w:t>
            </w:r>
          </w:p>
        </w:tc>
      </w:tr>
      <w:tr w:rsidR="00972DB7" w:rsidRPr="000C7CA3" w14:paraId="3D50ADD0" w14:textId="77777777" w:rsidTr="00AD281C">
        <w:trPr>
          <w:cantSplit/>
          <w:jc w:val="center"/>
        </w:trPr>
        <w:tc>
          <w:tcPr>
            <w:tcW w:w="2696" w:type="dxa"/>
            <w:shd w:val="clear" w:color="auto" w:fill="D9D9D9"/>
            <w:tcMar>
              <w:top w:w="28" w:type="dxa"/>
              <w:left w:w="57" w:type="dxa"/>
              <w:bottom w:w="28" w:type="dxa"/>
              <w:right w:w="57" w:type="dxa"/>
            </w:tcMar>
            <w:vAlign w:val="center"/>
          </w:tcPr>
          <w:p w14:paraId="5492C7E6" w14:textId="77777777" w:rsidR="00972DB7" w:rsidRPr="00D118BA" w:rsidRDefault="00972DB7" w:rsidP="00AD281C">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1E0B949B" w14:textId="77777777" w:rsidR="00972DB7" w:rsidRPr="0022795A" w:rsidRDefault="00972DB7" w:rsidP="00AD281C">
            <w:pPr>
              <w:rPr>
                <w:sz w:val="20"/>
              </w:rPr>
            </w:pPr>
            <w:r w:rsidRPr="0022795A">
              <w:rPr>
                <w:bCs/>
                <w:sz w:val="20"/>
              </w:rPr>
              <w:t xml:space="preserve">Amount of </w:t>
            </w:r>
            <w:r>
              <w:rPr>
                <w:bCs/>
                <w:sz w:val="20"/>
              </w:rPr>
              <w:t xml:space="preserve">fossil fuel </w:t>
            </w:r>
            <w:r w:rsidRPr="0022795A">
              <w:rPr>
                <w:bCs/>
                <w:sz w:val="20"/>
              </w:rPr>
              <w:t xml:space="preserve">used in the </w:t>
            </w:r>
            <w:r>
              <w:rPr>
                <w:bCs/>
                <w:sz w:val="20"/>
              </w:rPr>
              <w:t>baseline scenarios b1, b2 and b3</w:t>
            </w:r>
          </w:p>
        </w:tc>
      </w:tr>
      <w:tr w:rsidR="00972DB7" w:rsidRPr="000C7CA3" w14:paraId="598421C7" w14:textId="77777777" w:rsidTr="00AD281C">
        <w:trPr>
          <w:cantSplit/>
          <w:jc w:val="center"/>
        </w:trPr>
        <w:tc>
          <w:tcPr>
            <w:tcW w:w="2696" w:type="dxa"/>
            <w:shd w:val="clear" w:color="auto" w:fill="D9D9D9"/>
            <w:tcMar>
              <w:top w:w="28" w:type="dxa"/>
              <w:left w:w="57" w:type="dxa"/>
              <w:bottom w:w="28" w:type="dxa"/>
              <w:right w:w="57" w:type="dxa"/>
            </w:tcMar>
            <w:vAlign w:val="center"/>
          </w:tcPr>
          <w:p w14:paraId="5B28E48B" w14:textId="77777777" w:rsidR="00972DB7" w:rsidRPr="009C6B29" w:rsidRDefault="00972DB7" w:rsidP="00AD281C">
            <w:pPr>
              <w:rPr>
                <w:sz w:val="20"/>
              </w:rPr>
            </w:pPr>
            <w:r w:rsidRPr="009C6B29">
              <w:rPr>
                <w:sz w:val="20"/>
              </w:rPr>
              <w:t>Source of data</w:t>
            </w:r>
          </w:p>
        </w:tc>
        <w:tc>
          <w:tcPr>
            <w:tcW w:w="6933" w:type="dxa"/>
            <w:shd w:val="clear" w:color="auto" w:fill="auto"/>
            <w:tcMar>
              <w:top w:w="28" w:type="dxa"/>
              <w:left w:w="57" w:type="dxa"/>
              <w:bottom w:w="28" w:type="dxa"/>
              <w:right w:w="57" w:type="dxa"/>
            </w:tcMar>
            <w:vAlign w:val="center"/>
          </w:tcPr>
          <w:p w14:paraId="4AD49C7C" w14:textId="77777777" w:rsidR="00972DB7" w:rsidRPr="009C6B29" w:rsidRDefault="00972DB7" w:rsidP="00AD281C">
            <w:pPr>
              <w:rPr>
                <w:sz w:val="20"/>
              </w:rPr>
            </w:pPr>
            <w:r w:rsidRPr="00BD0DCB">
              <w:rPr>
                <w:rFonts w:cs="Arial"/>
                <w:sz w:val="20"/>
              </w:rPr>
              <w:t>KPT primary data 29Sept2015 B1(firewood) (post-review), sheet ‘90/30 test’</w:t>
            </w:r>
            <w:r>
              <w:rPr>
                <w:rFonts w:cs="Arial"/>
                <w:sz w:val="20"/>
              </w:rPr>
              <w:t xml:space="preserve">; </w:t>
            </w:r>
            <w:r w:rsidRPr="00DC09F1">
              <w:rPr>
                <w:rFonts w:cs="Arial"/>
                <w:sz w:val="20"/>
              </w:rPr>
              <w:t>20170322 B2 B3 BFT Results KE, sheet ‘B2 - 90|30 test'</w:t>
            </w:r>
          </w:p>
        </w:tc>
      </w:tr>
      <w:tr w:rsidR="00972DB7" w:rsidRPr="000C7CA3" w14:paraId="4748ECB0" w14:textId="77777777" w:rsidTr="00AD281C">
        <w:trPr>
          <w:cantSplit/>
          <w:jc w:val="center"/>
        </w:trPr>
        <w:tc>
          <w:tcPr>
            <w:tcW w:w="2696" w:type="dxa"/>
            <w:shd w:val="clear" w:color="auto" w:fill="D9D9D9"/>
            <w:tcMar>
              <w:top w:w="28" w:type="dxa"/>
              <w:left w:w="57" w:type="dxa"/>
              <w:bottom w:w="28" w:type="dxa"/>
              <w:right w:w="57" w:type="dxa"/>
            </w:tcMar>
            <w:vAlign w:val="center"/>
          </w:tcPr>
          <w:p w14:paraId="3D10BC3D" w14:textId="77777777" w:rsidR="00972DB7" w:rsidRPr="00D118BA" w:rsidRDefault="00972DB7" w:rsidP="00AD281C">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46124E0C" w14:textId="77777777" w:rsidR="00972DB7" w:rsidRPr="0022795A" w:rsidRDefault="00972DB7" w:rsidP="00AD281C">
            <w:pPr>
              <w:rPr>
                <w:sz w:val="20"/>
              </w:rPr>
            </w:pPr>
            <w:r>
              <w:rPr>
                <w:sz w:val="20"/>
              </w:rPr>
              <w:t>0.00</w:t>
            </w:r>
          </w:p>
        </w:tc>
      </w:tr>
      <w:tr w:rsidR="00972DB7" w:rsidRPr="000C7CA3" w14:paraId="56F6269F" w14:textId="77777777" w:rsidTr="00AD281C">
        <w:trPr>
          <w:cantSplit/>
          <w:jc w:val="center"/>
        </w:trPr>
        <w:tc>
          <w:tcPr>
            <w:tcW w:w="2696" w:type="dxa"/>
            <w:shd w:val="clear" w:color="auto" w:fill="D9D9D9"/>
            <w:tcMar>
              <w:top w:w="28" w:type="dxa"/>
              <w:left w:w="57" w:type="dxa"/>
              <w:bottom w:w="28" w:type="dxa"/>
              <w:right w:w="57" w:type="dxa"/>
            </w:tcMar>
            <w:vAlign w:val="center"/>
          </w:tcPr>
          <w:p w14:paraId="53ACFCF8" w14:textId="77777777" w:rsidR="00972DB7" w:rsidRPr="00D118BA" w:rsidRDefault="00972DB7" w:rsidP="00AD281C">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2E71988D" w14:textId="77777777" w:rsidR="00972DB7" w:rsidRPr="0022795A" w:rsidRDefault="00972DB7" w:rsidP="00E65AED">
            <w:pPr>
              <w:rPr>
                <w:sz w:val="20"/>
              </w:rPr>
            </w:pPr>
            <w:r w:rsidRPr="0022795A">
              <w:rPr>
                <w:bCs/>
                <w:i/>
                <w:sz w:val="20"/>
              </w:rPr>
              <w:t>H</w:t>
            </w:r>
            <w:r w:rsidRPr="0022795A">
              <w:rPr>
                <w:bCs/>
                <w:sz w:val="20"/>
              </w:rPr>
              <w:t>ouseholds/communities/SMEs have been asked how much woody biomass they use, and undergo a Kitchen Performance Test as per the requirements of the TPDDTEC methodology.</w:t>
            </w:r>
          </w:p>
        </w:tc>
      </w:tr>
      <w:tr w:rsidR="00972DB7" w:rsidRPr="000C7CA3" w14:paraId="4B93C782" w14:textId="77777777" w:rsidTr="00AD281C">
        <w:trPr>
          <w:cantSplit/>
          <w:jc w:val="center"/>
        </w:trPr>
        <w:tc>
          <w:tcPr>
            <w:tcW w:w="2696" w:type="dxa"/>
            <w:shd w:val="clear" w:color="auto" w:fill="D9D9D9"/>
            <w:tcMar>
              <w:top w:w="28" w:type="dxa"/>
              <w:left w:w="57" w:type="dxa"/>
              <w:bottom w:w="28" w:type="dxa"/>
              <w:right w:w="57" w:type="dxa"/>
            </w:tcMar>
            <w:vAlign w:val="center"/>
          </w:tcPr>
          <w:p w14:paraId="3C3493F4" w14:textId="77777777" w:rsidR="00972DB7" w:rsidRPr="00D118BA" w:rsidRDefault="00972DB7" w:rsidP="00AD281C">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481CCA96" w14:textId="77777777" w:rsidR="00972DB7" w:rsidRPr="00E35A9D" w:rsidRDefault="00972DB7" w:rsidP="00972DB7">
            <w:pPr>
              <w:autoSpaceDE w:val="0"/>
              <w:autoSpaceDN w:val="0"/>
              <w:adjustRightInd w:val="0"/>
              <w:jc w:val="left"/>
              <w:rPr>
                <w:rFonts w:eastAsia="MS Mincho" w:cs="Arial"/>
                <w:sz w:val="20"/>
                <w:lang w:eastAsia="nl-NL"/>
              </w:rPr>
            </w:pPr>
            <w:r w:rsidRPr="00E35A9D">
              <w:rPr>
                <w:rFonts w:eastAsia="MS Mincho" w:cs="Arial"/>
                <w:sz w:val="20"/>
                <w:lang w:eastAsia="nl-NL"/>
              </w:rPr>
              <w:t>Not applicable: Option B BFT conducted once upfront and parameter fixed</w:t>
            </w:r>
          </w:p>
          <w:p w14:paraId="1394B942" w14:textId="77777777" w:rsidR="00972DB7" w:rsidRPr="0022795A" w:rsidRDefault="00972DB7" w:rsidP="00972DB7">
            <w:pPr>
              <w:rPr>
                <w:sz w:val="20"/>
              </w:rPr>
            </w:pPr>
            <w:r>
              <w:rPr>
                <w:rFonts w:eastAsia="MS Mincho" w:cs="Arial"/>
                <w:sz w:val="20"/>
                <w:lang w:val="nl-NL" w:eastAsia="nl-NL"/>
              </w:rPr>
              <w:t>throughout the crediting period.</w:t>
            </w:r>
          </w:p>
        </w:tc>
      </w:tr>
      <w:tr w:rsidR="00972DB7" w:rsidRPr="000C7CA3" w14:paraId="61BA2C8E" w14:textId="77777777" w:rsidTr="00AD281C">
        <w:trPr>
          <w:cantSplit/>
          <w:jc w:val="center"/>
        </w:trPr>
        <w:tc>
          <w:tcPr>
            <w:tcW w:w="2696" w:type="dxa"/>
            <w:shd w:val="clear" w:color="auto" w:fill="D9D9D9"/>
            <w:tcMar>
              <w:top w:w="28" w:type="dxa"/>
              <w:left w:w="57" w:type="dxa"/>
              <w:bottom w:w="28" w:type="dxa"/>
              <w:right w:w="57" w:type="dxa"/>
            </w:tcMar>
            <w:vAlign w:val="center"/>
          </w:tcPr>
          <w:p w14:paraId="7F599858" w14:textId="77777777" w:rsidR="00972DB7" w:rsidRPr="00D118BA" w:rsidRDefault="00972DB7" w:rsidP="00AD281C">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2B366B2B" w14:textId="77777777" w:rsidR="00972DB7" w:rsidRPr="0022795A" w:rsidRDefault="00972DB7" w:rsidP="00AD281C">
            <w:pPr>
              <w:rPr>
                <w:sz w:val="20"/>
              </w:rPr>
            </w:pPr>
            <w:r w:rsidRPr="0022795A">
              <w:rPr>
                <w:bCs/>
                <w:sz w:val="20"/>
              </w:rPr>
              <w:t>To account for void responses and lack of availability of some households/communities/SMEs on the day of the survey, at least 10 additional households should be questioned.</w:t>
            </w:r>
          </w:p>
        </w:tc>
      </w:tr>
      <w:tr w:rsidR="00972DB7" w:rsidRPr="000C7CA3" w14:paraId="13970596" w14:textId="77777777" w:rsidTr="00AD281C">
        <w:trPr>
          <w:cantSplit/>
          <w:jc w:val="center"/>
        </w:trPr>
        <w:tc>
          <w:tcPr>
            <w:tcW w:w="2696" w:type="dxa"/>
            <w:shd w:val="clear" w:color="auto" w:fill="D9D9D9"/>
            <w:tcMar>
              <w:top w:w="28" w:type="dxa"/>
              <w:left w:w="57" w:type="dxa"/>
              <w:bottom w:w="28" w:type="dxa"/>
              <w:right w:w="57" w:type="dxa"/>
            </w:tcMar>
            <w:vAlign w:val="center"/>
          </w:tcPr>
          <w:p w14:paraId="3E4C3EEB" w14:textId="77777777" w:rsidR="00972DB7" w:rsidRPr="00D118BA" w:rsidRDefault="00972DB7" w:rsidP="00AD281C">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0E169677" w14:textId="77777777" w:rsidR="00972DB7" w:rsidRPr="0022795A" w:rsidRDefault="00972DB7" w:rsidP="00AD281C">
            <w:pPr>
              <w:rPr>
                <w:sz w:val="20"/>
              </w:rPr>
            </w:pPr>
            <w:r w:rsidRPr="0022795A">
              <w:rPr>
                <w:bCs/>
                <w:sz w:val="20"/>
              </w:rPr>
              <w:t>To calculate project emissions</w:t>
            </w:r>
          </w:p>
        </w:tc>
      </w:tr>
      <w:tr w:rsidR="00972DB7" w:rsidRPr="000C7CA3" w14:paraId="2806FCEF" w14:textId="77777777" w:rsidTr="00AD281C">
        <w:trPr>
          <w:cantSplit/>
          <w:jc w:val="center"/>
        </w:trPr>
        <w:tc>
          <w:tcPr>
            <w:tcW w:w="2696" w:type="dxa"/>
            <w:shd w:val="clear" w:color="auto" w:fill="D9D9D9"/>
            <w:tcMar>
              <w:top w:w="28" w:type="dxa"/>
              <w:left w:w="57" w:type="dxa"/>
              <w:bottom w:w="28" w:type="dxa"/>
              <w:right w:w="57" w:type="dxa"/>
            </w:tcMar>
            <w:vAlign w:val="center"/>
          </w:tcPr>
          <w:p w14:paraId="23BE015E" w14:textId="77777777" w:rsidR="00972DB7" w:rsidRPr="00D118BA" w:rsidRDefault="00972DB7" w:rsidP="00AD281C">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4B473DA0" w14:textId="77777777" w:rsidR="00E65AED" w:rsidRPr="00956C76" w:rsidRDefault="00E65AED" w:rsidP="00E65AED">
            <w:pPr>
              <w:autoSpaceDE w:val="0"/>
              <w:autoSpaceDN w:val="0"/>
              <w:adjustRightInd w:val="0"/>
              <w:jc w:val="left"/>
              <w:rPr>
                <w:rFonts w:eastAsia="MS Mincho" w:cs="Arial"/>
                <w:sz w:val="20"/>
                <w:lang w:eastAsia="nl-NL"/>
              </w:rPr>
            </w:pPr>
            <w:r w:rsidRPr="00956C76">
              <w:rPr>
                <w:rFonts w:eastAsia="MS Mincho" w:cs="Arial"/>
                <w:sz w:val="20"/>
                <w:lang w:eastAsia="nl-NL"/>
              </w:rPr>
              <w:t>As per Annex 5 of the Technologies and Practices to Displace Decentralized</w:t>
            </w:r>
          </w:p>
          <w:p w14:paraId="07141219" w14:textId="77777777" w:rsidR="00972DB7" w:rsidRPr="0022795A" w:rsidRDefault="00E65AED" w:rsidP="00E65AED">
            <w:pPr>
              <w:rPr>
                <w:sz w:val="20"/>
              </w:rPr>
            </w:pPr>
            <w:r>
              <w:rPr>
                <w:rFonts w:eastAsia="MS Mincho" w:cs="Arial"/>
                <w:sz w:val="20"/>
                <w:lang w:val="nl-NL" w:eastAsia="nl-NL"/>
              </w:rPr>
              <w:t>Thermal Energy Consumption methodology.</w:t>
            </w:r>
          </w:p>
        </w:tc>
      </w:tr>
    </w:tbl>
    <w:p w14:paraId="2F222AFA" w14:textId="77777777" w:rsidR="00972DB7" w:rsidRDefault="00972DB7"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3E0E9E" w:rsidRPr="000C7CA3" w14:paraId="002A3D4B" w14:textId="77777777" w:rsidTr="003E0E9E">
        <w:trPr>
          <w:cantSplit/>
          <w:jc w:val="center"/>
        </w:trPr>
        <w:tc>
          <w:tcPr>
            <w:tcW w:w="2696" w:type="dxa"/>
            <w:shd w:val="clear" w:color="auto" w:fill="D9D9D9"/>
            <w:tcMar>
              <w:top w:w="28" w:type="dxa"/>
              <w:left w:w="57" w:type="dxa"/>
              <w:bottom w:w="28" w:type="dxa"/>
              <w:right w:w="57" w:type="dxa"/>
            </w:tcMar>
            <w:vAlign w:val="center"/>
          </w:tcPr>
          <w:p w14:paraId="4CD77D9B" w14:textId="77777777" w:rsidR="003E0E9E" w:rsidRPr="00A76316" w:rsidRDefault="003E0E9E" w:rsidP="003E0E9E">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01FA7369" w14:textId="77777777" w:rsidR="003E0E9E" w:rsidRPr="0022795A" w:rsidRDefault="003E0E9E" w:rsidP="003E0E9E">
            <w:pPr>
              <w:rPr>
                <w:sz w:val="20"/>
              </w:rPr>
            </w:pPr>
            <w:r w:rsidRPr="0022795A">
              <w:rPr>
                <w:b/>
                <w:bCs/>
                <w:sz w:val="20"/>
              </w:rPr>
              <w:t>BB</w:t>
            </w:r>
            <w:r w:rsidRPr="0022795A">
              <w:rPr>
                <w:b/>
                <w:bCs/>
                <w:sz w:val="20"/>
                <w:vertAlign w:val="subscript"/>
              </w:rPr>
              <w:t>p1, bio</w:t>
            </w:r>
          </w:p>
        </w:tc>
      </w:tr>
      <w:tr w:rsidR="003E0E9E" w:rsidRPr="000C7CA3" w14:paraId="73B3A893" w14:textId="77777777" w:rsidTr="003E0E9E">
        <w:trPr>
          <w:cantSplit/>
          <w:jc w:val="center"/>
        </w:trPr>
        <w:tc>
          <w:tcPr>
            <w:tcW w:w="2696" w:type="dxa"/>
            <w:shd w:val="clear" w:color="auto" w:fill="D9D9D9"/>
            <w:tcMar>
              <w:top w:w="28" w:type="dxa"/>
              <w:left w:w="57" w:type="dxa"/>
              <w:bottom w:w="28" w:type="dxa"/>
              <w:right w:w="57" w:type="dxa"/>
            </w:tcMar>
            <w:vAlign w:val="center"/>
          </w:tcPr>
          <w:p w14:paraId="6F7E17EC" w14:textId="77777777" w:rsidR="003E0E9E" w:rsidRPr="00D118BA" w:rsidRDefault="003E0E9E" w:rsidP="003E0E9E">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5368B9FB" w14:textId="77777777" w:rsidR="003E0E9E" w:rsidRPr="0022795A" w:rsidRDefault="003E0E9E" w:rsidP="003E0E9E">
            <w:pPr>
              <w:rPr>
                <w:sz w:val="20"/>
              </w:rPr>
            </w:pPr>
            <w:r w:rsidRPr="0022795A">
              <w:rPr>
                <w:bCs/>
                <w:sz w:val="20"/>
              </w:rPr>
              <w:t>Tonnes/year</w:t>
            </w:r>
          </w:p>
        </w:tc>
      </w:tr>
      <w:tr w:rsidR="003E0E9E" w:rsidRPr="000C7CA3" w14:paraId="704FDE63" w14:textId="77777777" w:rsidTr="003E0E9E">
        <w:trPr>
          <w:cantSplit/>
          <w:jc w:val="center"/>
        </w:trPr>
        <w:tc>
          <w:tcPr>
            <w:tcW w:w="2696" w:type="dxa"/>
            <w:shd w:val="clear" w:color="auto" w:fill="D9D9D9"/>
            <w:tcMar>
              <w:top w:w="28" w:type="dxa"/>
              <w:left w:w="57" w:type="dxa"/>
              <w:bottom w:w="28" w:type="dxa"/>
              <w:right w:w="57" w:type="dxa"/>
            </w:tcMar>
            <w:vAlign w:val="center"/>
          </w:tcPr>
          <w:p w14:paraId="4E56F9CD" w14:textId="77777777" w:rsidR="003E0E9E" w:rsidRPr="00D118BA" w:rsidRDefault="003E0E9E" w:rsidP="003E0E9E">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79BA049C" w14:textId="77777777" w:rsidR="003E0E9E" w:rsidRPr="0022795A" w:rsidRDefault="003E0E9E" w:rsidP="003E0E9E">
            <w:pPr>
              <w:rPr>
                <w:sz w:val="20"/>
              </w:rPr>
            </w:pPr>
            <w:r w:rsidRPr="0022795A">
              <w:rPr>
                <w:bCs/>
                <w:sz w:val="20"/>
              </w:rPr>
              <w:t>Amount of woody biomass used in the project scenario p1</w:t>
            </w:r>
            <w:r w:rsidR="00E65AED">
              <w:rPr>
                <w:bCs/>
                <w:sz w:val="20"/>
              </w:rPr>
              <w:t xml:space="preserve"> (one value)</w:t>
            </w:r>
          </w:p>
        </w:tc>
      </w:tr>
      <w:tr w:rsidR="003E0E9E" w:rsidRPr="000C7CA3" w14:paraId="5A16E161" w14:textId="77777777" w:rsidTr="003E0E9E">
        <w:trPr>
          <w:cantSplit/>
          <w:jc w:val="center"/>
        </w:trPr>
        <w:tc>
          <w:tcPr>
            <w:tcW w:w="2696" w:type="dxa"/>
            <w:shd w:val="clear" w:color="auto" w:fill="D9D9D9"/>
            <w:tcMar>
              <w:top w:w="28" w:type="dxa"/>
              <w:left w:w="57" w:type="dxa"/>
              <w:bottom w:w="28" w:type="dxa"/>
              <w:right w:w="57" w:type="dxa"/>
            </w:tcMar>
            <w:vAlign w:val="center"/>
          </w:tcPr>
          <w:p w14:paraId="431376C6" w14:textId="77777777" w:rsidR="003E0E9E" w:rsidRPr="009C6B29" w:rsidRDefault="003E0E9E" w:rsidP="003E0E9E">
            <w:pPr>
              <w:rPr>
                <w:sz w:val="20"/>
              </w:rPr>
            </w:pPr>
            <w:r w:rsidRPr="009C6B29">
              <w:rPr>
                <w:sz w:val="20"/>
              </w:rPr>
              <w:t>Source of data</w:t>
            </w:r>
          </w:p>
        </w:tc>
        <w:tc>
          <w:tcPr>
            <w:tcW w:w="6933" w:type="dxa"/>
            <w:shd w:val="clear" w:color="auto" w:fill="auto"/>
            <w:tcMar>
              <w:top w:w="28" w:type="dxa"/>
              <w:left w:w="57" w:type="dxa"/>
              <w:bottom w:w="28" w:type="dxa"/>
              <w:right w:w="57" w:type="dxa"/>
            </w:tcMar>
            <w:vAlign w:val="center"/>
          </w:tcPr>
          <w:p w14:paraId="5CC058AE" w14:textId="77777777" w:rsidR="003E0E9E" w:rsidRPr="009C6B29" w:rsidRDefault="00E65AED" w:rsidP="003E0E9E">
            <w:pPr>
              <w:rPr>
                <w:sz w:val="20"/>
              </w:rPr>
            </w:pPr>
            <w:r w:rsidRPr="00E65AED">
              <w:rPr>
                <w:sz w:val="20"/>
              </w:rPr>
              <w:t>Survey C PFT Sample Size - KE, sheet 'Project - 90|30 test'</w:t>
            </w:r>
          </w:p>
        </w:tc>
      </w:tr>
      <w:tr w:rsidR="003E0E9E" w:rsidRPr="000C7CA3" w14:paraId="3FAD82EB" w14:textId="77777777" w:rsidTr="003E0E9E">
        <w:trPr>
          <w:cantSplit/>
          <w:jc w:val="center"/>
        </w:trPr>
        <w:tc>
          <w:tcPr>
            <w:tcW w:w="2696" w:type="dxa"/>
            <w:shd w:val="clear" w:color="auto" w:fill="D9D9D9"/>
            <w:tcMar>
              <w:top w:w="28" w:type="dxa"/>
              <w:left w:w="57" w:type="dxa"/>
              <w:bottom w:w="28" w:type="dxa"/>
              <w:right w:w="57" w:type="dxa"/>
            </w:tcMar>
            <w:vAlign w:val="center"/>
          </w:tcPr>
          <w:p w14:paraId="3AD11BBB" w14:textId="77777777" w:rsidR="003E0E9E" w:rsidRPr="00D118BA" w:rsidRDefault="003E0E9E" w:rsidP="003E0E9E">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0321B871" w14:textId="77777777" w:rsidR="003E0E9E" w:rsidRPr="0022795A" w:rsidRDefault="00E65AED" w:rsidP="003E0E9E">
            <w:pPr>
              <w:rPr>
                <w:sz w:val="20"/>
              </w:rPr>
            </w:pPr>
            <w:r>
              <w:rPr>
                <w:sz w:val="20"/>
              </w:rPr>
              <w:t>2.12</w:t>
            </w:r>
          </w:p>
        </w:tc>
      </w:tr>
      <w:tr w:rsidR="003E0E9E" w:rsidRPr="000C7CA3" w14:paraId="6264A73E" w14:textId="77777777" w:rsidTr="003E0E9E">
        <w:trPr>
          <w:cantSplit/>
          <w:jc w:val="center"/>
        </w:trPr>
        <w:tc>
          <w:tcPr>
            <w:tcW w:w="2696" w:type="dxa"/>
            <w:shd w:val="clear" w:color="auto" w:fill="D9D9D9"/>
            <w:tcMar>
              <w:top w:w="28" w:type="dxa"/>
              <w:left w:w="57" w:type="dxa"/>
              <w:bottom w:w="28" w:type="dxa"/>
              <w:right w:w="57" w:type="dxa"/>
            </w:tcMar>
            <w:vAlign w:val="center"/>
          </w:tcPr>
          <w:p w14:paraId="7E84503B" w14:textId="77777777" w:rsidR="003E0E9E" w:rsidRPr="00D118BA" w:rsidRDefault="003E0E9E" w:rsidP="003E0E9E">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3506D6A1" w14:textId="77777777" w:rsidR="003E0E9E" w:rsidRPr="0022795A" w:rsidRDefault="0022795A" w:rsidP="00E65AED">
            <w:pPr>
              <w:rPr>
                <w:sz w:val="20"/>
              </w:rPr>
            </w:pPr>
            <w:r w:rsidRPr="0022795A">
              <w:rPr>
                <w:bCs/>
                <w:i/>
                <w:sz w:val="20"/>
              </w:rPr>
              <w:t>H</w:t>
            </w:r>
            <w:r w:rsidRPr="0022795A">
              <w:rPr>
                <w:bCs/>
                <w:sz w:val="20"/>
              </w:rPr>
              <w:t>ouseholds/communities/SMEs have been asked how much woody biomass they, and undergo a Kitchen Performance Test as per the requirements of the TPDDTEC methodology.</w:t>
            </w:r>
          </w:p>
        </w:tc>
      </w:tr>
      <w:tr w:rsidR="003E0E9E" w:rsidRPr="000C7CA3" w14:paraId="5F6B0702" w14:textId="77777777" w:rsidTr="003E0E9E">
        <w:trPr>
          <w:cantSplit/>
          <w:jc w:val="center"/>
        </w:trPr>
        <w:tc>
          <w:tcPr>
            <w:tcW w:w="2696" w:type="dxa"/>
            <w:shd w:val="clear" w:color="auto" w:fill="D9D9D9"/>
            <w:tcMar>
              <w:top w:w="28" w:type="dxa"/>
              <w:left w:w="57" w:type="dxa"/>
              <w:bottom w:w="28" w:type="dxa"/>
              <w:right w:w="57" w:type="dxa"/>
            </w:tcMar>
            <w:vAlign w:val="center"/>
          </w:tcPr>
          <w:p w14:paraId="4A70DDAC" w14:textId="77777777" w:rsidR="003E0E9E" w:rsidRPr="00D118BA" w:rsidRDefault="003E0E9E" w:rsidP="003E0E9E">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66F4FBC1" w14:textId="77777777" w:rsidR="003E0E9E" w:rsidRPr="0022795A" w:rsidRDefault="00E65AED" w:rsidP="00972DB7">
            <w:pPr>
              <w:rPr>
                <w:sz w:val="20"/>
              </w:rPr>
            </w:pPr>
            <w:r>
              <w:rPr>
                <w:rFonts w:eastAsia="MS Mincho" w:cs="Arial"/>
                <w:i/>
                <w:sz w:val="20"/>
                <w:lang w:eastAsia="nl-NL"/>
              </w:rPr>
              <w:t xml:space="preserve">Ex post, </w:t>
            </w:r>
            <w:r>
              <w:rPr>
                <w:rFonts w:eastAsia="MS Mincho" w:cs="Arial"/>
                <w:sz w:val="20"/>
                <w:lang w:eastAsia="nl-NL"/>
              </w:rPr>
              <w:t>once every two years</w:t>
            </w:r>
          </w:p>
        </w:tc>
      </w:tr>
      <w:tr w:rsidR="003E0E9E" w:rsidRPr="000C7CA3" w14:paraId="3296253C" w14:textId="77777777" w:rsidTr="003E0E9E">
        <w:trPr>
          <w:cantSplit/>
          <w:jc w:val="center"/>
        </w:trPr>
        <w:tc>
          <w:tcPr>
            <w:tcW w:w="2696" w:type="dxa"/>
            <w:shd w:val="clear" w:color="auto" w:fill="D9D9D9"/>
            <w:tcMar>
              <w:top w:w="28" w:type="dxa"/>
              <w:left w:w="57" w:type="dxa"/>
              <w:bottom w:w="28" w:type="dxa"/>
              <w:right w:w="57" w:type="dxa"/>
            </w:tcMar>
            <w:vAlign w:val="center"/>
          </w:tcPr>
          <w:p w14:paraId="27F8C726" w14:textId="77777777" w:rsidR="003E0E9E" w:rsidRPr="00D118BA" w:rsidRDefault="003E0E9E" w:rsidP="003E0E9E">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0DFCB41B" w14:textId="77777777" w:rsidR="003E0E9E" w:rsidRPr="0022795A" w:rsidRDefault="0022795A" w:rsidP="003E0E9E">
            <w:pPr>
              <w:rPr>
                <w:sz w:val="20"/>
              </w:rPr>
            </w:pPr>
            <w:r w:rsidRPr="0022795A">
              <w:rPr>
                <w:bCs/>
                <w:sz w:val="20"/>
              </w:rPr>
              <w:t>To account for void responses and lack of availability of some households/communities/SMEs on the day of the survey, at least 10 additional households should be questioned.</w:t>
            </w:r>
          </w:p>
        </w:tc>
      </w:tr>
      <w:tr w:rsidR="003E0E9E" w:rsidRPr="000C7CA3" w14:paraId="7598194B" w14:textId="77777777" w:rsidTr="003E0E9E">
        <w:trPr>
          <w:cantSplit/>
          <w:jc w:val="center"/>
        </w:trPr>
        <w:tc>
          <w:tcPr>
            <w:tcW w:w="2696" w:type="dxa"/>
            <w:shd w:val="clear" w:color="auto" w:fill="D9D9D9"/>
            <w:tcMar>
              <w:top w:w="28" w:type="dxa"/>
              <w:left w:w="57" w:type="dxa"/>
              <w:bottom w:w="28" w:type="dxa"/>
              <w:right w:w="57" w:type="dxa"/>
            </w:tcMar>
            <w:vAlign w:val="center"/>
          </w:tcPr>
          <w:p w14:paraId="451F35D4" w14:textId="77777777" w:rsidR="003E0E9E" w:rsidRPr="00D118BA" w:rsidRDefault="003E0E9E" w:rsidP="003E0E9E">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5960E759" w14:textId="77777777" w:rsidR="003E0E9E" w:rsidRPr="0022795A" w:rsidRDefault="0022795A" w:rsidP="003E0E9E">
            <w:pPr>
              <w:rPr>
                <w:sz w:val="20"/>
              </w:rPr>
            </w:pPr>
            <w:r w:rsidRPr="0022795A">
              <w:rPr>
                <w:bCs/>
                <w:sz w:val="20"/>
              </w:rPr>
              <w:t>To calculate project emissions</w:t>
            </w:r>
          </w:p>
        </w:tc>
      </w:tr>
      <w:tr w:rsidR="003E0E9E" w:rsidRPr="000C7CA3" w14:paraId="1A332E43" w14:textId="77777777" w:rsidTr="003E0E9E">
        <w:trPr>
          <w:cantSplit/>
          <w:jc w:val="center"/>
        </w:trPr>
        <w:tc>
          <w:tcPr>
            <w:tcW w:w="2696" w:type="dxa"/>
            <w:shd w:val="clear" w:color="auto" w:fill="D9D9D9"/>
            <w:tcMar>
              <w:top w:w="28" w:type="dxa"/>
              <w:left w:w="57" w:type="dxa"/>
              <w:bottom w:w="28" w:type="dxa"/>
              <w:right w:w="57" w:type="dxa"/>
            </w:tcMar>
            <w:vAlign w:val="center"/>
          </w:tcPr>
          <w:p w14:paraId="670F5BE3" w14:textId="77777777" w:rsidR="003E0E9E" w:rsidRPr="00D118BA" w:rsidRDefault="003E0E9E" w:rsidP="003E0E9E">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5345073A" w14:textId="77777777" w:rsidR="003E0E9E" w:rsidRPr="0022795A" w:rsidRDefault="0022795A" w:rsidP="003E0E9E">
            <w:pPr>
              <w:rPr>
                <w:sz w:val="20"/>
              </w:rPr>
            </w:pPr>
            <w:r w:rsidRPr="0022795A">
              <w:rPr>
                <w:bCs/>
                <w:sz w:val="20"/>
              </w:rPr>
              <w:t>Project Performance Field Test (PFT) will be updated once every two years.</w:t>
            </w:r>
          </w:p>
        </w:tc>
      </w:tr>
    </w:tbl>
    <w:p w14:paraId="38829349" w14:textId="77777777" w:rsidR="00972DB7" w:rsidRDefault="00972DB7"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3E0E9E" w:rsidRPr="000C7CA3" w14:paraId="05AB5BD9" w14:textId="77777777" w:rsidTr="003E0E9E">
        <w:trPr>
          <w:cantSplit/>
          <w:jc w:val="center"/>
        </w:trPr>
        <w:tc>
          <w:tcPr>
            <w:tcW w:w="2696" w:type="dxa"/>
            <w:shd w:val="clear" w:color="auto" w:fill="D9D9D9"/>
            <w:tcMar>
              <w:top w:w="28" w:type="dxa"/>
              <w:left w:w="57" w:type="dxa"/>
              <w:bottom w:w="28" w:type="dxa"/>
              <w:right w:w="57" w:type="dxa"/>
            </w:tcMar>
            <w:vAlign w:val="center"/>
          </w:tcPr>
          <w:p w14:paraId="04593449" w14:textId="77777777" w:rsidR="003E0E9E" w:rsidRPr="00A76316" w:rsidRDefault="003E0E9E" w:rsidP="003E0E9E">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6D37830C" w14:textId="77777777" w:rsidR="003E0E9E" w:rsidRPr="0022795A" w:rsidRDefault="0022795A" w:rsidP="003E0E9E">
            <w:pPr>
              <w:rPr>
                <w:sz w:val="20"/>
              </w:rPr>
            </w:pPr>
            <w:r w:rsidRPr="0022795A">
              <w:rPr>
                <w:b/>
                <w:bCs/>
                <w:sz w:val="20"/>
              </w:rPr>
              <w:t>BB</w:t>
            </w:r>
            <w:r w:rsidRPr="0022795A">
              <w:rPr>
                <w:b/>
                <w:bCs/>
                <w:sz w:val="20"/>
                <w:vertAlign w:val="subscript"/>
              </w:rPr>
              <w:t>p1,fuel</w:t>
            </w:r>
          </w:p>
        </w:tc>
      </w:tr>
      <w:tr w:rsidR="003E0E9E" w:rsidRPr="000C7CA3" w14:paraId="544A6887" w14:textId="77777777" w:rsidTr="003E0E9E">
        <w:trPr>
          <w:cantSplit/>
          <w:jc w:val="center"/>
        </w:trPr>
        <w:tc>
          <w:tcPr>
            <w:tcW w:w="2696" w:type="dxa"/>
            <w:shd w:val="clear" w:color="auto" w:fill="D9D9D9"/>
            <w:tcMar>
              <w:top w:w="28" w:type="dxa"/>
              <w:left w:w="57" w:type="dxa"/>
              <w:bottom w:w="28" w:type="dxa"/>
              <w:right w:w="57" w:type="dxa"/>
            </w:tcMar>
            <w:vAlign w:val="center"/>
          </w:tcPr>
          <w:p w14:paraId="19EF4A4F" w14:textId="77777777" w:rsidR="003E0E9E" w:rsidRPr="00D118BA" w:rsidRDefault="003E0E9E" w:rsidP="003E0E9E">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0C026E34" w14:textId="77777777" w:rsidR="003E0E9E" w:rsidRPr="0022795A" w:rsidRDefault="0022795A" w:rsidP="003E0E9E">
            <w:pPr>
              <w:rPr>
                <w:sz w:val="20"/>
              </w:rPr>
            </w:pPr>
            <w:r w:rsidRPr="0022795A">
              <w:rPr>
                <w:bCs/>
                <w:sz w:val="20"/>
              </w:rPr>
              <w:t>Tonnes/year</w:t>
            </w:r>
          </w:p>
        </w:tc>
      </w:tr>
      <w:tr w:rsidR="003E0E9E" w:rsidRPr="000C7CA3" w14:paraId="6EEB7165" w14:textId="77777777" w:rsidTr="003E0E9E">
        <w:trPr>
          <w:cantSplit/>
          <w:jc w:val="center"/>
        </w:trPr>
        <w:tc>
          <w:tcPr>
            <w:tcW w:w="2696" w:type="dxa"/>
            <w:shd w:val="clear" w:color="auto" w:fill="D9D9D9"/>
            <w:tcMar>
              <w:top w:w="28" w:type="dxa"/>
              <w:left w:w="57" w:type="dxa"/>
              <w:bottom w:w="28" w:type="dxa"/>
              <w:right w:w="57" w:type="dxa"/>
            </w:tcMar>
            <w:vAlign w:val="center"/>
          </w:tcPr>
          <w:p w14:paraId="4598E041" w14:textId="77777777" w:rsidR="003E0E9E" w:rsidRPr="00D118BA" w:rsidRDefault="003E0E9E" w:rsidP="003E0E9E">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14DFF5F5" w14:textId="77777777" w:rsidR="003E0E9E" w:rsidRPr="0022795A" w:rsidRDefault="00E65AED" w:rsidP="00E65AED">
            <w:pPr>
              <w:rPr>
                <w:sz w:val="20"/>
              </w:rPr>
            </w:pPr>
            <w:r>
              <w:rPr>
                <w:bCs/>
                <w:sz w:val="20"/>
              </w:rPr>
              <w:t>A</w:t>
            </w:r>
            <w:r w:rsidR="0022795A" w:rsidRPr="0022795A">
              <w:rPr>
                <w:bCs/>
                <w:sz w:val="20"/>
              </w:rPr>
              <w:t>mount of fossil fuels used in the project scenario p1</w:t>
            </w:r>
            <w:r>
              <w:rPr>
                <w:bCs/>
                <w:sz w:val="20"/>
              </w:rPr>
              <w:t xml:space="preserve"> </w:t>
            </w:r>
          </w:p>
        </w:tc>
      </w:tr>
      <w:tr w:rsidR="003E0E9E" w:rsidRPr="000C7CA3" w14:paraId="4BAF0CE4" w14:textId="77777777" w:rsidTr="003E0E9E">
        <w:trPr>
          <w:cantSplit/>
          <w:jc w:val="center"/>
        </w:trPr>
        <w:tc>
          <w:tcPr>
            <w:tcW w:w="2696" w:type="dxa"/>
            <w:shd w:val="clear" w:color="auto" w:fill="D9D9D9"/>
            <w:tcMar>
              <w:top w:w="28" w:type="dxa"/>
              <w:left w:w="57" w:type="dxa"/>
              <w:bottom w:w="28" w:type="dxa"/>
              <w:right w:w="57" w:type="dxa"/>
            </w:tcMar>
            <w:vAlign w:val="center"/>
          </w:tcPr>
          <w:p w14:paraId="596A3523" w14:textId="77777777" w:rsidR="003E0E9E" w:rsidRPr="00D118BA" w:rsidRDefault="003E0E9E" w:rsidP="003E0E9E">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5A856CE2" w14:textId="77777777" w:rsidR="003E0E9E" w:rsidRPr="0022795A" w:rsidRDefault="00E65AED" w:rsidP="003E0E9E">
            <w:pPr>
              <w:rPr>
                <w:sz w:val="20"/>
              </w:rPr>
            </w:pPr>
            <w:r w:rsidRPr="00E65AED">
              <w:rPr>
                <w:sz w:val="20"/>
              </w:rPr>
              <w:t>Survey C PFT Sample Size - KE, sheet 'Project - 90|30 test'</w:t>
            </w:r>
          </w:p>
        </w:tc>
      </w:tr>
      <w:tr w:rsidR="003E0E9E" w:rsidRPr="000C7CA3" w14:paraId="25139AD5" w14:textId="77777777" w:rsidTr="003E0E9E">
        <w:trPr>
          <w:cantSplit/>
          <w:jc w:val="center"/>
        </w:trPr>
        <w:tc>
          <w:tcPr>
            <w:tcW w:w="2696" w:type="dxa"/>
            <w:shd w:val="clear" w:color="auto" w:fill="D9D9D9"/>
            <w:tcMar>
              <w:top w:w="28" w:type="dxa"/>
              <w:left w:w="57" w:type="dxa"/>
              <w:bottom w:w="28" w:type="dxa"/>
              <w:right w:w="57" w:type="dxa"/>
            </w:tcMar>
            <w:vAlign w:val="center"/>
          </w:tcPr>
          <w:p w14:paraId="158E6B29" w14:textId="77777777" w:rsidR="003E0E9E" w:rsidRPr="00D118BA" w:rsidRDefault="003E0E9E" w:rsidP="003E0E9E">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13B1BFB1" w14:textId="77777777" w:rsidR="003E0E9E" w:rsidRPr="0022795A" w:rsidRDefault="0022795A" w:rsidP="003E0E9E">
            <w:pPr>
              <w:rPr>
                <w:sz w:val="20"/>
              </w:rPr>
            </w:pPr>
            <w:r w:rsidRPr="0022795A">
              <w:rPr>
                <w:sz w:val="20"/>
              </w:rPr>
              <w:t>0</w:t>
            </w:r>
          </w:p>
        </w:tc>
      </w:tr>
      <w:tr w:rsidR="003E0E9E" w:rsidRPr="000C7CA3" w14:paraId="184F9E4B" w14:textId="77777777" w:rsidTr="003E0E9E">
        <w:trPr>
          <w:cantSplit/>
          <w:jc w:val="center"/>
        </w:trPr>
        <w:tc>
          <w:tcPr>
            <w:tcW w:w="2696" w:type="dxa"/>
            <w:shd w:val="clear" w:color="auto" w:fill="D9D9D9"/>
            <w:tcMar>
              <w:top w:w="28" w:type="dxa"/>
              <w:left w:w="57" w:type="dxa"/>
              <w:bottom w:w="28" w:type="dxa"/>
              <w:right w:w="57" w:type="dxa"/>
            </w:tcMar>
            <w:vAlign w:val="center"/>
          </w:tcPr>
          <w:p w14:paraId="7C279353" w14:textId="77777777" w:rsidR="003E0E9E" w:rsidRPr="00D118BA" w:rsidRDefault="003E0E9E" w:rsidP="003E0E9E">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154BCEF7" w14:textId="77777777" w:rsidR="003E0E9E" w:rsidRPr="0022795A" w:rsidRDefault="0022795A" w:rsidP="00E65AED">
            <w:pPr>
              <w:pStyle w:val="SDMTableBoxParaNotNumbered"/>
              <w:jc w:val="both"/>
            </w:pPr>
            <w:r w:rsidRPr="0022795A">
              <w:rPr>
                <w:bCs/>
                <w:i/>
              </w:rPr>
              <w:t>H</w:t>
            </w:r>
            <w:r w:rsidRPr="0022795A">
              <w:rPr>
                <w:bCs/>
              </w:rPr>
              <w:t xml:space="preserve">ouseholds/communities/SMEs have been asked how much </w:t>
            </w:r>
            <w:r w:rsidR="00E65AED">
              <w:rPr>
                <w:bCs/>
              </w:rPr>
              <w:t>fossil fuels</w:t>
            </w:r>
            <w:r w:rsidRPr="0022795A">
              <w:rPr>
                <w:bCs/>
              </w:rPr>
              <w:t xml:space="preserve"> they use</w:t>
            </w:r>
            <w:r w:rsidR="00E65AED">
              <w:rPr>
                <w:bCs/>
              </w:rPr>
              <w:t xml:space="preserve">, </w:t>
            </w:r>
            <w:r w:rsidRPr="0022795A">
              <w:rPr>
                <w:bCs/>
              </w:rPr>
              <w:t>and undergo a Kitchen Performance Test as per the requirements of the TPDDTEC methodology.</w:t>
            </w:r>
          </w:p>
        </w:tc>
      </w:tr>
      <w:tr w:rsidR="003E0E9E" w:rsidRPr="000C7CA3" w14:paraId="44B2D3DE" w14:textId="77777777" w:rsidTr="003E0E9E">
        <w:trPr>
          <w:cantSplit/>
          <w:jc w:val="center"/>
        </w:trPr>
        <w:tc>
          <w:tcPr>
            <w:tcW w:w="2696" w:type="dxa"/>
            <w:shd w:val="clear" w:color="auto" w:fill="D9D9D9"/>
            <w:tcMar>
              <w:top w:w="28" w:type="dxa"/>
              <w:left w:w="57" w:type="dxa"/>
              <w:bottom w:w="28" w:type="dxa"/>
              <w:right w:w="57" w:type="dxa"/>
            </w:tcMar>
            <w:vAlign w:val="center"/>
          </w:tcPr>
          <w:p w14:paraId="41785E71" w14:textId="77777777" w:rsidR="003E0E9E" w:rsidRPr="00D118BA" w:rsidRDefault="003E0E9E" w:rsidP="003E0E9E">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41CBDB8F" w14:textId="77777777" w:rsidR="003E0E9E" w:rsidRPr="0022795A" w:rsidRDefault="0022795A" w:rsidP="003E0E9E">
            <w:pPr>
              <w:rPr>
                <w:sz w:val="20"/>
              </w:rPr>
            </w:pPr>
            <w:r w:rsidRPr="0022795A">
              <w:rPr>
                <w:bCs/>
                <w:i/>
                <w:sz w:val="20"/>
              </w:rPr>
              <w:t>Ex-post</w:t>
            </w:r>
            <w:r w:rsidRPr="0022795A">
              <w:rPr>
                <w:bCs/>
                <w:sz w:val="20"/>
              </w:rPr>
              <w:t>, once every two years</w:t>
            </w:r>
          </w:p>
        </w:tc>
      </w:tr>
      <w:tr w:rsidR="003E0E9E" w:rsidRPr="000C7CA3" w14:paraId="655705A3" w14:textId="77777777" w:rsidTr="003E0E9E">
        <w:trPr>
          <w:cantSplit/>
          <w:jc w:val="center"/>
        </w:trPr>
        <w:tc>
          <w:tcPr>
            <w:tcW w:w="2696" w:type="dxa"/>
            <w:shd w:val="clear" w:color="auto" w:fill="D9D9D9"/>
            <w:tcMar>
              <w:top w:w="28" w:type="dxa"/>
              <w:left w:w="57" w:type="dxa"/>
              <w:bottom w:w="28" w:type="dxa"/>
              <w:right w:w="57" w:type="dxa"/>
            </w:tcMar>
            <w:vAlign w:val="center"/>
          </w:tcPr>
          <w:p w14:paraId="1B76BA1A" w14:textId="77777777" w:rsidR="003E0E9E" w:rsidRPr="00D118BA" w:rsidRDefault="003E0E9E" w:rsidP="003E0E9E">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34CE31BE" w14:textId="77777777" w:rsidR="003E0E9E" w:rsidRPr="0022795A" w:rsidRDefault="0022795A" w:rsidP="0022795A">
            <w:pPr>
              <w:pStyle w:val="SDMTableBoxParaNotNumbered"/>
              <w:jc w:val="both"/>
            </w:pPr>
            <w:r w:rsidRPr="0022795A">
              <w:rPr>
                <w:bCs/>
              </w:rPr>
              <w:t>To account for void responses and lack of availability of some households/communities/SMEs on the day of the survey, at least 10 additional households should be questioned.</w:t>
            </w:r>
          </w:p>
        </w:tc>
      </w:tr>
      <w:tr w:rsidR="003E0E9E" w:rsidRPr="000C7CA3" w14:paraId="7E96DBF2" w14:textId="77777777" w:rsidTr="003E0E9E">
        <w:trPr>
          <w:cantSplit/>
          <w:jc w:val="center"/>
        </w:trPr>
        <w:tc>
          <w:tcPr>
            <w:tcW w:w="2696" w:type="dxa"/>
            <w:shd w:val="clear" w:color="auto" w:fill="D9D9D9"/>
            <w:tcMar>
              <w:top w:w="28" w:type="dxa"/>
              <w:left w:w="57" w:type="dxa"/>
              <w:bottom w:w="28" w:type="dxa"/>
              <w:right w:w="57" w:type="dxa"/>
            </w:tcMar>
            <w:vAlign w:val="center"/>
          </w:tcPr>
          <w:p w14:paraId="56802038" w14:textId="77777777" w:rsidR="003E0E9E" w:rsidRPr="00D118BA" w:rsidRDefault="003E0E9E" w:rsidP="003E0E9E">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0C60F4AA" w14:textId="77777777" w:rsidR="003E0E9E" w:rsidRPr="0022795A" w:rsidRDefault="0022795A" w:rsidP="003E0E9E">
            <w:pPr>
              <w:rPr>
                <w:sz w:val="20"/>
              </w:rPr>
            </w:pPr>
            <w:r w:rsidRPr="0022795A">
              <w:rPr>
                <w:bCs/>
                <w:sz w:val="20"/>
              </w:rPr>
              <w:t>Calculation of project emissions</w:t>
            </w:r>
          </w:p>
        </w:tc>
      </w:tr>
      <w:tr w:rsidR="003E0E9E" w:rsidRPr="000C7CA3" w14:paraId="3EADDEB7" w14:textId="77777777" w:rsidTr="003E0E9E">
        <w:trPr>
          <w:cantSplit/>
          <w:jc w:val="center"/>
        </w:trPr>
        <w:tc>
          <w:tcPr>
            <w:tcW w:w="2696" w:type="dxa"/>
            <w:shd w:val="clear" w:color="auto" w:fill="D9D9D9"/>
            <w:tcMar>
              <w:top w:w="28" w:type="dxa"/>
              <w:left w:w="57" w:type="dxa"/>
              <w:bottom w:w="28" w:type="dxa"/>
              <w:right w:w="57" w:type="dxa"/>
            </w:tcMar>
            <w:vAlign w:val="center"/>
          </w:tcPr>
          <w:p w14:paraId="7C80C9F9" w14:textId="77777777" w:rsidR="003E0E9E" w:rsidRPr="00D118BA" w:rsidRDefault="003E0E9E" w:rsidP="003E0E9E">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73D1476C" w14:textId="77777777" w:rsidR="003E0E9E" w:rsidRPr="0022795A" w:rsidRDefault="0022795A" w:rsidP="003E0E9E">
            <w:pPr>
              <w:rPr>
                <w:sz w:val="20"/>
              </w:rPr>
            </w:pPr>
            <w:r w:rsidRPr="0022795A">
              <w:rPr>
                <w:bCs/>
                <w:sz w:val="20"/>
              </w:rPr>
              <w:t>Project Performance Field Test (PFT) will be updated once every two years.</w:t>
            </w:r>
          </w:p>
        </w:tc>
      </w:tr>
    </w:tbl>
    <w:p w14:paraId="2F45DC49" w14:textId="77777777" w:rsidR="0022795A" w:rsidRDefault="0022795A"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22795A" w:rsidRPr="000C7CA3" w14:paraId="40F5DDCF" w14:textId="77777777" w:rsidTr="001E0142">
        <w:trPr>
          <w:cantSplit/>
          <w:jc w:val="center"/>
        </w:trPr>
        <w:tc>
          <w:tcPr>
            <w:tcW w:w="2696" w:type="dxa"/>
            <w:shd w:val="clear" w:color="auto" w:fill="D9D9D9"/>
            <w:tcMar>
              <w:top w:w="28" w:type="dxa"/>
              <w:left w:w="57" w:type="dxa"/>
              <w:bottom w:w="28" w:type="dxa"/>
              <w:right w:w="57" w:type="dxa"/>
            </w:tcMar>
            <w:vAlign w:val="center"/>
          </w:tcPr>
          <w:p w14:paraId="2620B323" w14:textId="77777777" w:rsidR="0022795A" w:rsidRPr="00A76316" w:rsidRDefault="0022795A" w:rsidP="001E0142">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4F851EA7" w14:textId="77777777" w:rsidR="0022795A" w:rsidRPr="0022795A" w:rsidRDefault="0022795A" w:rsidP="001E0142">
            <w:pPr>
              <w:rPr>
                <w:sz w:val="20"/>
              </w:rPr>
            </w:pPr>
            <w:r w:rsidRPr="0022795A">
              <w:rPr>
                <w:b/>
                <w:bCs/>
                <w:sz w:val="20"/>
              </w:rPr>
              <w:t>MS</w:t>
            </w:r>
            <w:r w:rsidRPr="0022795A">
              <w:rPr>
                <w:b/>
                <w:bCs/>
                <w:sz w:val="20"/>
                <w:vertAlign w:val="subscript"/>
              </w:rPr>
              <w:t>T,S,k</w:t>
            </w:r>
          </w:p>
        </w:tc>
      </w:tr>
      <w:tr w:rsidR="0022795A" w:rsidRPr="000C7CA3" w14:paraId="54EB1B33" w14:textId="77777777" w:rsidTr="001E0142">
        <w:trPr>
          <w:cantSplit/>
          <w:jc w:val="center"/>
        </w:trPr>
        <w:tc>
          <w:tcPr>
            <w:tcW w:w="2696" w:type="dxa"/>
            <w:shd w:val="clear" w:color="auto" w:fill="D9D9D9"/>
            <w:tcMar>
              <w:top w:w="28" w:type="dxa"/>
              <w:left w:w="57" w:type="dxa"/>
              <w:bottom w:w="28" w:type="dxa"/>
              <w:right w:w="57" w:type="dxa"/>
            </w:tcMar>
            <w:vAlign w:val="center"/>
          </w:tcPr>
          <w:p w14:paraId="334B32AE" w14:textId="77777777" w:rsidR="0022795A" w:rsidRPr="00D118BA" w:rsidRDefault="0022795A" w:rsidP="001E0142">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66E406F0" w14:textId="77777777" w:rsidR="0022795A" w:rsidRPr="0022795A" w:rsidRDefault="0022795A" w:rsidP="001E0142">
            <w:pPr>
              <w:rPr>
                <w:sz w:val="20"/>
              </w:rPr>
            </w:pPr>
            <w:r w:rsidRPr="0022795A">
              <w:rPr>
                <w:sz w:val="20"/>
              </w:rPr>
              <w:t>%</w:t>
            </w:r>
          </w:p>
        </w:tc>
      </w:tr>
      <w:tr w:rsidR="0022795A" w:rsidRPr="000C7CA3" w14:paraId="4966A728" w14:textId="77777777" w:rsidTr="001E0142">
        <w:trPr>
          <w:cantSplit/>
          <w:jc w:val="center"/>
        </w:trPr>
        <w:tc>
          <w:tcPr>
            <w:tcW w:w="2696" w:type="dxa"/>
            <w:shd w:val="clear" w:color="auto" w:fill="D9D9D9"/>
            <w:tcMar>
              <w:top w:w="28" w:type="dxa"/>
              <w:left w:w="57" w:type="dxa"/>
              <w:bottom w:w="28" w:type="dxa"/>
              <w:right w:w="57" w:type="dxa"/>
            </w:tcMar>
            <w:vAlign w:val="center"/>
          </w:tcPr>
          <w:p w14:paraId="5A7F5096" w14:textId="77777777" w:rsidR="0022795A" w:rsidRPr="00D118BA" w:rsidRDefault="0022795A" w:rsidP="001E0142">
            <w:pPr>
              <w:rPr>
                <w:sz w:val="20"/>
              </w:rPr>
            </w:pPr>
            <w:r w:rsidRPr="00D118BA">
              <w:rPr>
                <w:sz w:val="20"/>
              </w:rPr>
              <w:lastRenderedPageBreak/>
              <w:t>Description</w:t>
            </w:r>
          </w:p>
        </w:tc>
        <w:tc>
          <w:tcPr>
            <w:tcW w:w="6933" w:type="dxa"/>
            <w:shd w:val="clear" w:color="auto" w:fill="auto"/>
            <w:tcMar>
              <w:top w:w="28" w:type="dxa"/>
              <w:left w:w="57" w:type="dxa"/>
              <w:bottom w:w="28" w:type="dxa"/>
              <w:right w:w="57" w:type="dxa"/>
            </w:tcMar>
            <w:vAlign w:val="center"/>
          </w:tcPr>
          <w:p w14:paraId="61437B42" w14:textId="77777777" w:rsidR="0022795A" w:rsidRPr="0022795A" w:rsidRDefault="0022795A" w:rsidP="0022795A">
            <w:pPr>
              <w:pStyle w:val="SDMTableBoxParaNotNumbered"/>
              <w:rPr>
                <w:bCs/>
                <w:iCs/>
                <w:lang w:val="en-US"/>
              </w:rPr>
            </w:pPr>
            <w:r w:rsidRPr="0022795A">
              <w:rPr>
                <w:bCs/>
                <w:lang w:val="en-US"/>
              </w:rPr>
              <w:t xml:space="preserve">Fraction of livestock category </w:t>
            </w:r>
            <w:r w:rsidRPr="0022795A">
              <w:rPr>
                <w:bCs/>
                <w:iCs/>
                <w:lang w:val="en-US"/>
              </w:rPr>
              <w:t>T'</w:t>
            </w:r>
            <w:r w:rsidRPr="0022795A">
              <w:rPr>
                <w:bCs/>
                <w:lang w:val="en-US"/>
              </w:rPr>
              <w:t xml:space="preserve">s manure fed into the bio-digester, </w:t>
            </w:r>
            <w:r w:rsidRPr="0022795A">
              <w:rPr>
                <w:bCs/>
                <w:iCs/>
                <w:lang w:val="en-US"/>
              </w:rPr>
              <w:t>S</w:t>
            </w:r>
          </w:p>
          <w:p w14:paraId="74DC7AF9" w14:textId="77777777" w:rsidR="0022795A" w:rsidRPr="0022795A" w:rsidRDefault="0022795A" w:rsidP="0022795A">
            <w:pPr>
              <w:rPr>
                <w:sz w:val="20"/>
              </w:rPr>
            </w:pPr>
            <w:r w:rsidRPr="0022795A">
              <w:rPr>
                <w:bCs/>
                <w:sz w:val="20"/>
                <w:lang w:val="en-US"/>
              </w:rPr>
              <w:t xml:space="preserve">in climate region </w:t>
            </w:r>
            <w:r w:rsidRPr="0022795A">
              <w:rPr>
                <w:bCs/>
                <w:iCs/>
                <w:sz w:val="20"/>
                <w:lang w:val="en-US"/>
              </w:rPr>
              <w:t>k</w:t>
            </w:r>
          </w:p>
        </w:tc>
      </w:tr>
      <w:tr w:rsidR="0022795A" w:rsidRPr="000C7CA3" w14:paraId="25B6A6F6" w14:textId="77777777" w:rsidTr="001E0142">
        <w:trPr>
          <w:cantSplit/>
          <w:jc w:val="center"/>
        </w:trPr>
        <w:tc>
          <w:tcPr>
            <w:tcW w:w="2696" w:type="dxa"/>
            <w:shd w:val="clear" w:color="auto" w:fill="D9D9D9"/>
            <w:tcMar>
              <w:top w:w="28" w:type="dxa"/>
              <w:left w:w="57" w:type="dxa"/>
              <w:bottom w:w="28" w:type="dxa"/>
              <w:right w:w="57" w:type="dxa"/>
            </w:tcMar>
            <w:vAlign w:val="center"/>
          </w:tcPr>
          <w:p w14:paraId="02277763" w14:textId="77777777" w:rsidR="0022795A" w:rsidRPr="00D118BA" w:rsidRDefault="0022795A" w:rsidP="001E0142">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3F1BB9E0" w14:textId="77777777" w:rsidR="0022795A" w:rsidRPr="0022795A" w:rsidRDefault="00682450" w:rsidP="001E0142">
            <w:pPr>
              <w:rPr>
                <w:sz w:val="20"/>
              </w:rPr>
            </w:pPr>
            <w:r>
              <w:rPr>
                <w:sz w:val="20"/>
              </w:rPr>
              <w:t>ABC VPA1 KE MP2 Surveys + Analysis, sheet ‘Analysis A’</w:t>
            </w:r>
          </w:p>
        </w:tc>
      </w:tr>
      <w:tr w:rsidR="0022795A" w:rsidRPr="000C7CA3" w14:paraId="489CD06E" w14:textId="77777777" w:rsidTr="001E0142">
        <w:trPr>
          <w:cantSplit/>
          <w:jc w:val="center"/>
        </w:trPr>
        <w:tc>
          <w:tcPr>
            <w:tcW w:w="2696" w:type="dxa"/>
            <w:shd w:val="clear" w:color="auto" w:fill="D9D9D9"/>
            <w:tcMar>
              <w:top w:w="28" w:type="dxa"/>
              <w:left w:w="57" w:type="dxa"/>
              <w:bottom w:w="28" w:type="dxa"/>
              <w:right w:w="57" w:type="dxa"/>
            </w:tcMar>
            <w:vAlign w:val="center"/>
          </w:tcPr>
          <w:p w14:paraId="6B2FFB03" w14:textId="77777777" w:rsidR="0022795A" w:rsidRPr="00D118BA" w:rsidRDefault="0022795A" w:rsidP="001E0142">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2ABDA584" w14:textId="77777777" w:rsidR="0022795A" w:rsidRDefault="0022795A" w:rsidP="001E0142">
            <w:pPr>
              <w:rPr>
                <w:sz w:val="20"/>
                <w:highlight w:val="yellow"/>
              </w:rPr>
            </w:pPr>
          </w:p>
          <w:tbl>
            <w:tblPr>
              <w:tblW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135"/>
            </w:tblGrid>
            <w:tr w:rsidR="00682450" w14:paraId="04DB4B92" w14:textId="77777777" w:rsidTr="007A2D3E">
              <w:trPr>
                <w:trHeight w:val="47"/>
              </w:trPr>
              <w:tc>
                <w:tcPr>
                  <w:tcW w:w="3192" w:type="dxa"/>
                  <w:tcBorders>
                    <w:top w:val="single" w:sz="4" w:space="0" w:color="auto"/>
                    <w:left w:val="single" w:sz="4" w:space="0" w:color="auto"/>
                    <w:bottom w:val="single" w:sz="4" w:space="0" w:color="auto"/>
                    <w:right w:val="single" w:sz="4" w:space="0" w:color="auto"/>
                  </w:tcBorders>
                  <w:shd w:val="clear" w:color="auto" w:fill="D9D9D9"/>
                  <w:hideMark/>
                </w:tcPr>
                <w:p w14:paraId="48838382" w14:textId="77777777" w:rsidR="00682450" w:rsidRPr="00682450" w:rsidRDefault="00682450" w:rsidP="00682450">
                  <w:pPr>
                    <w:rPr>
                      <w:rFonts w:cs="Arial"/>
                      <w:b/>
                      <w:sz w:val="20"/>
                    </w:rPr>
                  </w:pPr>
                  <w:r>
                    <w:rPr>
                      <w:rFonts w:cs="Arial"/>
                      <w:b/>
                      <w:sz w:val="20"/>
                    </w:rPr>
                    <w:t>Animal T</w:t>
                  </w:r>
                </w:p>
              </w:tc>
              <w:tc>
                <w:tcPr>
                  <w:tcW w:w="2136" w:type="dxa"/>
                  <w:tcBorders>
                    <w:top w:val="single" w:sz="4" w:space="0" w:color="auto"/>
                    <w:left w:val="single" w:sz="4" w:space="0" w:color="auto"/>
                    <w:bottom w:val="single" w:sz="4" w:space="0" w:color="auto"/>
                    <w:right w:val="single" w:sz="4" w:space="0" w:color="auto"/>
                  </w:tcBorders>
                  <w:shd w:val="clear" w:color="auto" w:fill="D9D9D9"/>
                  <w:hideMark/>
                </w:tcPr>
                <w:p w14:paraId="7858E1CC" w14:textId="77777777" w:rsidR="00682450" w:rsidRPr="00682450" w:rsidRDefault="00682450" w:rsidP="00682450">
                  <w:pPr>
                    <w:rPr>
                      <w:rFonts w:cs="Arial"/>
                      <w:b/>
                      <w:sz w:val="20"/>
                    </w:rPr>
                  </w:pPr>
                  <w:r>
                    <w:rPr>
                      <w:rFonts w:cs="Arial"/>
                      <w:b/>
                      <w:sz w:val="20"/>
                    </w:rPr>
                    <w:t xml:space="preserve">Fraction </w:t>
                  </w:r>
                </w:p>
              </w:tc>
            </w:tr>
            <w:tr w:rsidR="00682450" w14:paraId="2CBB07EB" w14:textId="77777777" w:rsidTr="007A2D3E">
              <w:trPr>
                <w:trHeight w:val="69"/>
              </w:trPr>
              <w:tc>
                <w:tcPr>
                  <w:tcW w:w="3192" w:type="dxa"/>
                  <w:tcBorders>
                    <w:top w:val="single" w:sz="4" w:space="0" w:color="auto"/>
                    <w:left w:val="single" w:sz="4" w:space="0" w:color="auto"/>
                    <w:bottom w:val="single" w:sz="4" w:space="0" w:color="auto"/>
                    <w:right w:val="single" w:sz="4" w:space="0" w:color="auto"/>
                  </w:tcBorders>
                  <w:hideMark/>
                </w:tcPr>
                <w:p w14:paraId="6BEEC846" w14:textId="77777777" w:rsidR="00682450" w:rsidRPr="00682450" w:rsidRDefault="00682450" w:rsidP="00682450">
                  <w:pPr>
                    <w:rPr>
                      <w:rFonts w:cs="Arial"/>
                      <w:sz w:val="20"/>
                    </w:rPr>
                  </w:pPr>
                  <w:r w:rsidRPr="00682450">
                    <w:rPr>
                      <w:rFonts w:cs="Arial"/>
                      <w:sz w:val="20"/>
                    </w:rPr>
                    <w:t>Dairy c</w:t>
                  </w:r>
                  <w:r>
                    <w:rPr>
                      <w:rFonts w:cs="Arial"/>
                      <w:sz w:val="20"/>
                    </w:rPr>
                    <w:t>attle</w:t>
                  </w:r>
                </w:p>
              </w:tc>
              <w:tc>
                <w:tcPr>
                  <w:tcW w:w="2136" w:type="dxa"/>
                  <w:tcBorders>
                    <w:top w:val="single" w:sz="4" w:space="0" w:color="auto"/>
                    <w:left w:val="single" w:sz="4" w:space="0" w:color="auto"/>
                    <w:bottom w:val="single" w:sz="4" w:space="0" w:color="auto"/>
                    <w:right w:val="single" w:sz="4" w:space="0" w:color="auto"/>
                  </w:tcBorders>
                  <w:hideMark/>
                </w:tcPr>
                <w:p w14:paraId="42861406" w14:textId="77777777" w:rsidR="00682450" w:rsidRPr="00682450" w:rsidRDefault="00682450" w:rsidP="00682450">
                  <w:pPr>
                    <w:rPr>
                      <w:rFonts w:cs="Arial"/>
                      <w:sz w:val="20"/>
                    </w:rPr>
                  </w:pPr>
                  <w:r>
                    <w:rPr>
                      <w:rFonts w:cs="Arial"/>
                      <w:sz w:val="20"/>
                    </w:rPr>
                    <w:t>81.7%</w:t>
                  </w:r>
                </w:p>
              </w:tc>
            </w:tr>
            <w:tr w:rsidR="00682450" w14:paraId="0897823F" w14:textId="77777777" w:rsidTr="007A2D3E">
              <w:trPr>
                <w:trHeight w:val="168"/>
              </w:trPr>
              <w:tc>
                <w:tcPr>
                  <w:tcW w:w="3192" w:type="dxa"/>
                  <w:tcBorders>
                    <w:top w:val="single" w:sz="4" w:space="0" w:color="auto"/>
                    <w:left w:val="single" w:sz="4" w:space="0" w:color="auto"/>
                    <w:bottom w:val="single" w:sz="4" w:space="0" w:color="auto"/>
                    <w:right w:val="single" w:sz="4" w:space="0" w:color="auto"/>
                  </w:tcBorders>
                  <w:hideMark/>
                </w:tcPr>
                <w:p w14:paraId="1E2B7EC4" w14:textId="77777777" w:rsidR="00682450" w:rsidRPr="00682450" w:rsidRDefault="00682450" w:rsidP="00682450">
                  <w:pPr>
                    <w:rPr>
                      <w:rFonts w:cs="Arial"/>
                      <w:sz w:val="20"/>
                    </w:rPr>
                  </w:pPr>
                  <w:r>
                    <w:rPr>
                      <w:rFonts w:cs="Arial"/>
                      <w:sz w:val="20"/>
                    </w:rPr>
                    <w:t>Other cattle</w:t>
                  </w:r>
                </w:p>
              </w:tc>
              <w:tc>
                <w:tcPr>
                  <w:tcW w:w="2136" w:type="dxa"/>
                  <w:tcBorders>
                    <w:top w:val="single" w:sz="4" w:space="0" w:color="auto"/>
                    <w:left w:val="single" w:sz="4" w:space="0" w:color="auto"/>
                    <w:bottom w:val="single" w:sz="4" w:space="0" w:color="auto"/>
                    <w:right w:val="single" w:sz="4" w:space="0" w:color="auto"/>
                  </w:tcBorders>
                  <w:hideMark/>
                </w:tcPr>
                <w:p w14:paraId="05AAE81E" w14:textId="77777777" w:rsidR="00682450" w:rsidRPr="00682450" w:rsidRDefault="00682450" w:rsidP="00682450">
                  <w:pPr>
                    <w:rPr>
                      <w:rFonts w:cs="Arial"/>
                      <w:sz w:val="20"/>
                    </w:rPr>
                  </w:pPr>
                  <w:r>
                    <w:rPr>
                      <w:rFonts w:cs="Arial"/>
                      <w:sz w:val="20"/>
                    </w:rPr>
                    <w:t>42.4%</w:t>
                  </w:r>
                </w:p>
              </w:tc>
            </w:tr>
            <w:tr w:rsidR="00682450" w14:paraId="102A84C5" w14:textId="77777777" w:rsidTr="007A2D3E">
              <w:trPr>
                <w:trHeight w:val="159"/>
              </w:trPr>
              <w:tc>
                <w:tcPr>
                  <w:tcW w:w="3192" w:type="dxa"/>
                  <w:tcBorders>
                    <w:top w:val="single" w:sz="4" w:space="0" w:color="auto"/>
                    <w:left w:val="single" w:sz="4" w:space="0" w:color="auto"/>
                    <w:bottom w:val="single" w:sz="4" w:space="0" w:color="auto"/>
                    <w:right w:val="single" w:sz="4" w:space="0" w:color="auto"/>
                  </w:tcBorders>
                  <w:hideMark/>
                </w:tcPr>
                <w:p w14:paraId="376C58F8" w14:textId="77777777" w:rsidR="00682450" w:rsidRPr="00682450" w:rsidRDefault="00682450" w:rsidP="00682450">
                  <w:pPr>
                    <w:rPr>
                      <w:rFonts w:cs="Arial"/>
                      <w:sz w:val="20"/>
                    </w:rPr>
                  </w:pPr>
                  <w:r w:rsidRPr="00682450">
                    <w:rPr>
                      <w:rFonts w:cs="Arial"/>
                      <w:sz w:val="20"/>
                    </w:rPr>
                    <w:t>Market swine</w:t>
                  </w:r>
                </w:p>
              </w:tc>
              <w:tc>
                <w:tcPr>
                  <w:tcW w:w="2136" w:type="dxa"/>
                  <w:tcBorders>
                    <w:top w:val="single" w:sz="4" w:space="0" w:color="auto"/>
                    <w:left w:val="single" w:sz="4" w:space="0" w:color="auto"/>
                    <w:bottom w:val="single" w:sz="4" w:space="0" w:color="auto"/>
                    <w:right w:val="single" w:sz="4" w:space="0" w:color="auto"/>
                  </w:tcBorders>
                  <w:hideMark/>
                </w:tcPr>
                <w:p w14:paraId="529DF0C5" w14:textId="77777777" w:rsidR="00682450" w:rsidRPr="00682450" w:rsidRDefault="00682450" w:rsidP="00682450">
                  <w:pPr>
                    <w:rPr>
                      <w:rFonts w:cs="Arial"/>
                      <w:iCs/>
                      <w:sz w:val="20"/>
                    </w:rPr>
                  </w:pPr>
                  <w:r>
                    <w:rPr>
                      <w:rFonts w:cs="Arial"/>
                      <w:iCs/>
                      <w:sz w:val="20"/>
                    </w:rPr>
                    <w:t>50.0%</w:t>
                  </w:r>
                </w:p>
              </w:tc>
            </w:tr>
            <w:tr w:rsidR="00682450" w14:paraId="256ECBD7" w14:textId="77777777" w:rsidTr="007A2D3E">
              <w:trPr>
                <w:trHeight w:val="69"/>
              </w:trPr>
              <w:tc>
                <w:tcPr>
                  <w:tcW w:w="3192" w:type="dxa"/>
                  <w:tcBorders>
                    <w:top w:val="single" w:sz="4" w:space="0" w:color="auto"/>
                    <w:left w:val="single" w:sz="4" w:space="0" w:color="auto"/>
                    <w:bottom w:val="single" w:sz="4" w:space="0" w:color="auto"/>
                    <w:right w:val="single" w:sz="4" w:space="0" w:color="auto"/>
                  </w:tcBorders>
                  <w:hideMark/>
                </w:tcPr>
                <w:p w14:paraId="4A342CD1" w14:textId="77777777" w:rsidR="00682450" w:rsidRPr="00682450" w:rsidRDefault="00682450" w:rsidP="00682450">
                  <w:pPr>
                    <w:rPr>
                      <w:rFonts w:cs="Arial"/>
                      <w:sz w:val="20"/>
                    </w:rPr>
                  </w:pPr>
                  <w:r>
                    <w:rPr>
                      <w:rFonts w:cs="Arial"/>
                      <w:sz w:val="20"/>
                    </w:rPr>
                    <w:t>Breeding swine</w:t>
                  </w:r>
                </w:p>
              </w:tc>
              <w:tc>
                <w:tcPr>
                  <w:tcW w:w="2136" w:type="dxa"/>
                  <w:tcBorders>
                    <w:top w:val="single" w:sz="4" w:space="0" w:color="auto"/>
                    <w:left w:val="single" w:sz="4" w:space="0" w:color="auto"/>
                    <w:bottom w:val="single" w:sz="4" w:space="0" w:color="auto"/>
                    <w:right w:val="single" w:sz="4" w:space="0" w:color="auto"/>
                  </w:tcBorders>
                  <w:hideMark/>
                </w:tcPr>
                <w:p w14:paraId="4EA8310E" w14:textId="77777777" w:rsidR="00682450" w:rsidRPr="00682450" w:rsidRDefault="00682450" w:rsidP="00682450">
                  <w:pPr>
                    <w:rPr>
                      <w:rFonts w:cs="Arial"/>
                      <w:sz w:val="20"/>
                    </w:rPr>
                  </w:pPr>
                  <w:r>
                    <w:rPr>
                      <w:rFonts w:cs="Arial"/>
                      <w:sz w:val="20"/>
                    </w:rPr>
                    <w:t>62.5%</w:t>
                  </w:r>
                </w:p>
              </w:tc>
            </w:tr>
            <w:tr w:rsidR="00682450" w14:paraId="7004F377" w14:textId="77777777" w:rsidTr="007A2D3E">
              <w:trPr>
                <w:trHeight w:val="132"/>
              </w:trPr>
              <w:tc>
                <w:tcPr>
                  <w:tcW w:w="3192" w:type="dxa"/>
                  <w:tcBorders>
                    <w:top w:val="single" w:sz="4" w:space="0" w:color="auto"/>
                    <w:left w:val="single" w:sz="4" w:space="0" w:color="auto"/>
                    <w:bottom w:val="single" w:sz="4" w:space="0" w:color="auto"/>
                    <w:right w:val="single" w:sz="4" w:space="0" w:color="auto"/>
                  </w:tcBorders>
                  <w:hideMark/>
                </w:tcPr>
                <w:p w14:paraId="268EC435" w14:textId="77777777" w:rsidR="00682450" w:rsidRPr="00682450" w:rsidRDefault="00682450" w:rsidP="00682450">
                  <w:pPr>
                    <w:rPr>
                      <w:rFonts w:cs="Arial"/>
                      <w:sz w:val="20"/>
                    </w:rPr>
                  </w:pPr>
                  <w:r>
                    <w:rPr>
                      <w:rFonts w:cs="Arial"/>
                      <w:sz w:val="20"/>
                    </w:rPr>
                    <w:t>Poultry</w:t>
                  </w:r>
                </w:p>
              </w:tc>
              <w:tc>
                <w:tcPr>
                  <w:tcW w:w="2136" w:type="dxa"/>
                  <w:tcBorders>
                    <w:top w:val="single" w:sz="4" w:space="0" w:color="auto"/>
                    <w:left w:val="single" w:sz="4" w:space="0" w:color="auto"/>
                    <w:bottom w:val="single" w:sz="4" w:space="0" w:color="auto"/>
                    <w:right w:val="single" w:sz="4" w:space="0" w:color="auto"/>
                  </w:tcBorders>
                  <w:hideMark/>
                </w:tcPr>
                <w:p w14:paraId="4E09FB92" w14:textId="77777777" w:rsidR="00682450" w:rsidRPr="00682450" w:rsidRDefault="00682450" w:rsidP="00682450">
                  <w:pPr>
                    <w:rPr>
                      <w:rFonts w:cs="Arial"/>
                      <w:iCs/>
                      <w:sz w:val="20"/>
                    </w:rPr>
                  </w:pPr>
                  <w:r>
                    <w:rPr>
                      <w:rFonts w:cs="Arial"/>
                      <w:iCs/>
                      <w:sz w:val="20"/>
                    </w:rPr>
                    <w:t>0.0%</w:t>
                  </w:r>
                </w:p>
              </w:tc>
            </w:tr>
            <w:tr w:rsidR="00682450" w14:paraId="539E6EB0" w14:textId="77777777" w:rsidTr="007A2D3E">
              <w:trPr>
                <w:trHeight w:val="47"/>
              </w:trPr>
              <w:tc>
                <w:tcPr>
                  <w:tcW w:w="3192" w:type="dxa"/>
                  <w:tcBorders>
                    <w:top w:val="single" w:sz="4" w:space="0" w:color="auto"/>
                    <w:left w:val="single" w:sz="4" w:space="0" w:color="auto"/>
                    <w:bottom w:val="single" w:sz="4" w:space="0" w:color="auto"/>
                    <w:right w:val="single" w:sz="4" w:space="0" w:color="auto"/>
                  </w:tcBorders>
                  <w:hideMark/>
                </w:tcPr>
                <w:p w14:paraId="08FD1DDC" w14:textId="77777777" w:rsidR="00682450" w:rsidRPr="00682450" w:rsidRDefault="00682450" w:rsidP="00682450">
                  <w:pPr>
                    <w:rPr>
                      <w:rFonts w:cs="Arial"/>
                      <w:sz w:val="20"/>
                    </w:rPr>
                  </w:pPr>
                  <w:r>
                    <w:rPr>
                      <w:rFonts w:cs="Arial"/>
                      <w:sz w:val="20"/>
                    </w:rPr>
                    <w:t>Sheep</w:t>
                  </w:r>
                </w:p>
              </w:tc>
              <w:tc>
                <w:tcPr>
                  <w:tcW w:w="2136" w:type="dxa"/>
                  <w:tcBorders>
                    <w:top w:val="single" w:sz="4" w:space="0" w:color="auto"/>
                    <w:left w:val="single" w:sz="4" w:space="0" w:color="auto"/>
                    <w:bottom w:val="single" w:sz="4" w:space="0" w:color="auto"/>
                    <w:right w:val="single" w:sz="4" w:space="0" w:color="auto"/>
                  </w:tcBorders>
                  <w:hideMark/>
                </w:tcPr>
                <w:p w14:paraId="716F3DB0" w14:textId="77777777" w:rsidR="00682450" w:rsidRPr="00682450" w:rsidRDefault="00682450" w:rsidP="00682450">
                  <w:pPr>
                    <w:rPr>
                      <w:rFonts w:cs="Arial"/>
                      <w:iCs/>
                      <w:sz w:val="20"/>
                    </w:rPr>
                  </w:pPr>
                  <w:r>
                    <w:rPr>
                      <w:rFonts w:cs="Arial"/>
                      <w:iCs/>
                      <w:sz w:val="20"/>
                    </w:rPr>
                    <w:t>0.0%</w:t>
                  </w:r>
                </w:p>
              </w:tc>
            </w:tr>
            <w:tr w:rsidR="00682450" w14:paraId="5C684582" w14:textId="77777777" w:rsidTr="007A2D3E">
              <w:trPr>
                <w:trHeight w:val="47"/>
              </w:trPr>
              <w:tc>
                <w:tcPr>
                  <w:tcW w:w="3192" w:type="dxa"/>
                  <w:tcBorders>
                    <w:top w:val="single" w:sz="4" w:space="0" w:color="auto"/>
                    <w:left w:val="single" w:sz="4" w:space="0" w:color="auto"/>
                    <w:bottom w:val="single" w:sz="4" w:space="0" w:color="auto"/>
                    <w:right w:val="single" w:sz="4" w:space="0" w:color="auto"/>
                  </w:tcBorders>
                </w:tcPr>
                <w:p w14:paraId="0009498E" w14:textId="77777777" w:rsidR="00682450" w:rsidRDefault="00682450" w:rsidP="00682450">
                  <w:pPr>
                    <w:rPr>
                      <w:rFonts w:cs="Arial"/>
                      <w:sz w:val="20"/>
                    </w:rPr>
                  </w:pPr>
                  <w:r>
                    <w:rPr>
                      <w:rFonts w:cs="Arial"/>
                      <w:sz w:val="20"/>
                    </w:rPr>
                    <w:t>Goat</w:t>
                  </w:r>
                </w:p>
              </w:tc>
              <w:tc>
                <w:tcPr>
                  <w:tcW w:w="2136" w:type="dxa"/>
                  <w:tcBorders>
                    <w:top w:val="single" w:sz="4" w:space="0" w:color="auto"/>
                    <w:left w:val="single" w:sz="4" w:space="0" w:color="auto"/>
                    <w:bottom w:val="single" w:sz="4" w:space="0" w:color="auto"/>
                    <w:right w:val="single" w:sz="4" w:space="0" w:color="auto"/>
                  </w:tcBorders>
                </w:tcPr>
                <w:p w14:paraId="7F578A79" w14:textId="77777777" w:rsidR="00682450" w:rsidRPr="00682450" w:rsidRDefault="00682450" w:rsidP="00682450">
                  <w:pPr>
                    <w:rPr>
                      <w:rFonts w:cs="Arial"/>
                      <w:iCs/>
                      <w:sz w:val="20"/>
                    </w:rPr>
                  </w:pPr>
                  <w:r>
                    <w:rPr>
                      <w:rFonts w:cs="Arial"/>
                      <w:iCs/>
                      <w:sz w:val="20"/>
                    </w:rPr>
                    <w:t>0.0%</w:t>
                  </w:r>
                </w:p>
              </w:tc>
            </w:tr>
          </w:tbl>
          <w:p w14:paraId="273F75F4" w14:textId="77777777" w:rsidR="00682450" w:rsidRPr="0022795A" w:rsidRDefault="00682450" w:rsidP="001E0142">
            <w:pPr>
              <w:rPr>
                <w:sz w:val="20"/>
              </w:rPr>
            </w:pPr>
          </w:p>
        </w:tc>
      </w:tr>
      <w:tr w:rsidR="0022795A" w:rsidRPr="000C7CA3" w14:paraId="0CF9D3CF" w14:textId="77777777" w:rsidTr="001E0142">
        <w:trPr>
          <w:cantSplit/>
          <w:jc w:val="center"/>
        </w:trPr>
        <w:tc>
          <w:tcPr>
            <w:tcW w:w="2696" w:type="dxa"/>
            <w:shd w:val="clear" w:color="auto" w:fill="D9D9D9"/>
            <w:tcMar>
              <w:top w:w="28" w:type="dxa"/>
              <w:left w:w="57" w:type="dxa"/>
              <w:bottom w:w="28" w:type="dxa"/>
              <w:right w:w="57" w:type="dxa"/>
            </w:tcMar>
            <w:vAlign w:val="center"/>
          </w:tcPr>
          <w:p w14:paraId="42F4EE0B" w14:textId="77777777" w:rsidR="0022795A" w:rsidRPr="00D118BA" w:rsidRDefault="0022795A" w:rsidP="001E0142">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495CECEB" w14:textId="77777777" w:rsidR="0022795A" w:rsidRPr="0022795A" w:rsidRDefault="0022795A" w:rsidP="001E0142">
            <w:pPr>
              <w:rPr>
                <w:sz w:val="20"/>
              </w:rPr>
            </w:pPr>
            <w:r w:rsidRPr="0022795A">
              <w:rPr>
                <w:bCs/>
                <w:sz w:val="20"/>
              </w:rPr>
              <w:t>Households/communities/SMEs have been asked to estimate the fraction of their animal’s manure that is fed into the biogas digester for the different relevant livestock categories.</w:t>
            </w:r>
          </w:p>
        </w:tc>
      </w:tr>
      <w:tr w:rsidR="0022795A" w:rsidRPr="000C7CA3" w14:paraId="0D1DFF80" w14:textId="77777777" w:rsidTr="001E0142">
        <w:trPr>
          <w:cantSplit/>
          <w:jc w:val="center"/>
        </w:trPr>
        <w:tc>
          <w:tcPr>
            <w:tcW w:w="2696" w:type="dxa"/>
            <w:shd w:val="clear" w:color="auto" w:fill="D9D9D9"/>
            <w:tcMar>
              <w:top w:w="28" w:type="dxa"/>
              <w:left w:w="57" w:type="dxa"/>
              <w:bottom w:w="28" w:type="dxa"/>
              <w:right w:w="57" w:type="dxa"/>
            </w:tcMar>
            <w:vAlign w:val="center"/>
          </w:tcPr>
          <w:p w14:paraId="673F56E8" w14:textId="77777777" w:rsidR="0022795A" w:rsidRPr="00D118BA" w:rsidRDefault="0022795A" w:rsidP="001E0142">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03F5F0A8" w14:textId="77777777" w:rsidR="0022795A" w:rsidRPr="0022795A" w:rsidRDefault="0022795A" w:rsidP="001E0142">
            <w:pPr>
              <w:rPr>
                <w:sz w:val="20"/>
              </w:rPr>
            </w:pPr>
            <w:r w:rsidRPr="0022795A">
              <w:rPr>
                <w:bCs/>
                <w:sz w:val="20"/>
              </w:rPr>
              <w:t>Annual</w:t>
            </w:r>
          </w:p>
        </w:tc>
      </w:tr>
      <w:tr w:rsidR="0022795A" w:rsidRPr="000C7CA3" w14:paraId="5B24001C" w14:textId="77777777" w:rsidTr="001E0142">
        <w:trPr>
          <w:cantSplit/>
          <w:jc w:val="center"/>
        </w:trPr>
        <w:tc>
          <w:tcPr>
            <w:tcW w:w="2696" w:type="dxa"/>
            <w:shd w:val="clear" w:color="auto" w:fill="D9D9D9"/>
            <w:tcMar>
              <w:top w:w="28" w:type="dxa"/>
              <w:left w:w="57" w:type="dxa"/>
              <w:bottom w:w="28" w:type="dxa"/>
              <w:right w:w="57" w:type="dxa"/>
            </w:tcMar>
            <w:vAlign w:val="center"/>
          </w:tcPr>
          <w:p w14:paraId="52DF9A41" w14:textId="77777777" w:rsidR="0022795A" w:rsidRPr="00D118BA" w:rsidRDefault="0022795A" w:rsidP="001E0142">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672D97C3" w14:textId="77777777" w:rsidR="0022795A" w:rsidRPr="0022795A" w:rsidRDefault="0022795A" w:rsidP="001E0142">
            <w:pPr>
              <w:rPr>
                <w:sz w:val="20"/>
              </w:rPr>
            </w:pPr>
            <w:r w:rsidRPr="0022795A">
              <w:rPr>
                <w:bCs/>
                <w:sz w:val="20"/>
              </w:rPr>
              <w:t>To account for void responses and lack of availability of some households/communities/SMEs on the day of the survey, at least 10 additional households should be questioned.</w:t>
            </w:r>
          </w:p>
        </w:tc>
      </w:tr>
      <w:tr w:rsidR="0022795A" w:rsidRPr="000C7CA3" w14:paraId="694FE1E0" w14:textId="77777777" w:rsidTr="001E0142">
        <w:trPr>
          <w:cantSplit/>
          <w:jc w:val="center"/>
        </w:trPr>
        <w:tc>
          <w:tcPr>
            <w:tcW w:w="2696" w:type="dxa"/>
            <w:shd w:val="clear" w:color="auto" w:fill="D9D9D9"/>
            <w:tcMar>
              <w:top w:w="28" w:type="dxa"/>
              <w:left w:w="57" w:type="dxa"/>
              <w:bottom w:w="28" w:type="dxa"/>
              <w:right w:w="57" w:type="dxa"/>
            </w:tcMar>
            <w:vAlign w:val="center"/>
          </w:tcPr>
          <w:p w14:paraId="0F251E12" w14:textId="77777777" w:rsidR="0022795A" w:rsidRPr="00D118BA" w:rsidRDefault="0022795A" w:rsidP="001E0142">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1DFF6199" w14:textId="77777777" w:rsidR="0022795A" w:rsidRPr="0022795A" w:rsidRDefault="0022795A" w:rsidP="001E0142">
            <w:pPr>
              <w:rPr>
                <w:sz w:val="20"/>
              </w:rPr>
            </w:pPr>
            <w:r w:rsidRPr="0022795A">
              <w:rPr>
                <w:bCs/>
                <w:sz w:val="20"/>
              </w:rPr>
              <w:t>Calculation of project emissions</w:t>
            </w:r>
          </w:p>
        </w:tc>
      </w:tr>
      <w:tr w:rsidR="0022795A" w:rsidRPr="000C7CA3" w14:paraId="2CC9443C" w14:textId="77777777" w:rsidTr="001E0142">
        <w:trPr>
          <w:cantSplit/>
          <w:jc w:val="center"/>
        </w:trPr>
        <w:tc>
          <w:tcPr>
            <w:tcW w:w="2696" w:type="dxa"/>
            <w:shd w:val="clear" w:color="auto" w:fill="D9D9D9"/>
            <w:tcMar>
              <w:top w:w="28" w:type="dxa"/>
              <w:left w:w="57" w:type="dxa"/>
              <w:bottom w:w="28" w:type="dxa"/>
              <w:right w:w="57" w:type="dxa"/>
            </w:tcMar>
            <w:vAlign w:val="center"/>
          </w:tcPr>
          <w:p w14:paraId="38995087" w14:textId="77777777" w:rsidR="0022795A" w:rsidRPr="00D118BA" w:rsidRDefault="0022795A" w:rsidP="001E0142">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6CB31213" w14:textId="77777777" w:rsidR="0022795A" w:rsidRPr="0022795A" w:rsidRDefault="0022795A" w:rsidP="001E0142">
            <w:pPr>
              <w:rPr>
                <w:sz w:val="20"/>
              </w:rPr>
            </w:pPr>
            <w:r w:rsidRPr="0022795A">
              <w:rPr>
                <w:bCs/>
                <w:sz w:val="20"/>
              </w:rPr>
              <w:t>Applicable to VPAs applying Tier 2 only</w:t>
            </w:r>
          </w:p>
        </w:tc>
      </w:tr>
    </w:tbl>
    <w:p w14:paraId="404B89D7" w14:textId="77777777" w:rsidR="0022795A" w:rsidRDefault="0022795A"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22795A" w:rsidRPr="000C7CA3" w14:paraId="08EFC8EC" w14:textId="77777777" w:rsidTr="001E0142">
        <w:trPr>
          <w:cantSplit/>
          <w:jc w:val="center"/>
        </w:trPr>
        <w:tc>
          <w:tcPr>
            <w:tcW w:w="2696" w:type="dxa"/>
            <w:shd w:val="clear" w:color="auto" w:fill="D9D9D9"/>
            <w:tcMar>
              <w:top w:w="28" w:type="dxa"/>
              <w:left w:w="57" w:type="dxa"/>
              <w:bottom w:w="28" w:type="dxa"/>
              <w:right w:w="57" w:type="dxa"/>
            </w:tcMar>
            <w:vAlign w:val="center"/>
          </w:tcPr>
          <w:p w14:paraId="2CF3C0FE" w14:textId="77777777" w:rsidR="0022795A" w:rsidRPr="00A76316" w:rsidRDefault="0022795A" w:rsidP="001E0142">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1E3F997B" w14:textId="77777777" w:rsidR="0022795A" w:rsidRPr="0022795A" w:rsidRDefault="0022795A" w:rsidP="001E0142">
            <w:pPr>
              <w:rPr>
                <w:sz w:val="20"/>
              </w:rPr>
            </w:pPr>
            <w:r w:rsidRPr="0022795A">
              <w:rPr>
                <w:b/>
                <w:bCs/>
                <w:sz w:val="20"/>
              </w:rPr>
              <w:t>MS</w:t>
            </w:r>
            <w:r w:rsidRPr="0022795A">
              <w:rPr>
                <w:b/>
                <w:bCs/>
                <w:sz w:val="20"/>
                <w:vertAlign w:val="subscript"/>
              </w:rPr>
              <w:t>P,S,K</w:t>
            </w:r>
          </w:p>
        </w:tc>
      </w:tr>
      <w:tr w:rsidR="0022795A" w:rsidRPr="000C7CA3" w14:paraId="3A65179B" w14:textId="77777777" w:rsidTr="001E0142">
        <w:trPr>
          <w:cantSplit/>
          <w:jc w:val="center"/>
        </w:trPr>
        <w:tc>
          <w:tcPr>
            <w:tcW w:w="2696" w:type="dxa"/>
            <w:shd w:val="clear" w:color="auto" w:fill="D9D9D9"/>
            <w:tcMar>
              <w:top w:w="28" w:type="dxa"/>
              <w:left w:w="57" w:type="dxa"/>
              <w:bottom w:w="28" w:type="dxa"/>
              <w:right w:w="57" w:type="dxa"/>
            </w:tcMar>
            <w:vAlign w:val="center"/>
          </w:tcPr>
          <w:p w14:paraId="71FBB2EA" w14:textId="77777777" w:rsidR="0022795A" w:rsidRPr="00D118BA" w:rsidRDefault="0022795A" w:rsidP="001E0142">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600BA927" w14:textId="77777777" w:rsidR="0022795A" w:rsidRPr="0022795A" w:rsidRDefault="0022795A" w:rsidP="001E0142">
            <w:pPr>
              <w:rPr>
                <w:sz w:val="20"/>
              </w:rPr>
            </w:pPr>
            <w:r w:rsidRPr="0022795A">
              <w:rPr>
                <w:bCs/>
                <w:sz w:val="20"/>
              </w:rPr>
              <w:t>%</w:t>
            </w:r>
          </w:p>
        </w:tc>
      </w:tr>
      <w:tr w:rsidR="0022795A" w:rsidRPr="000C7CA3" w14:paraId="3F64A048" w14:textId="77777777" w:rsidTr="001E0142">
        <w:trPr>
          <w:cantSplit/>
          <w:jc w:val="center"/>
        </w:trPr>
        <w:tc>
          <w:tcPr>
            <w:tcW w:w="2696" w:type="dxa"/>
            <w:shd w:val="clear" w:color="auto" w:fill="D9D9D9"/>
            <w:tcMar>
              <w:top w:w="28" w:type="dxa"/>
              <w:left w:w="57" w:type="dxa"/>
              <w:bottom w:w="28" w:type="dxa"/>
              <w:right w:w="57" w:type="dxa"/>
            </w:tcMar>
            <w:vAlign w:val="center"/>
          </w:tcPr>
          <w:p w14:paraId="5347785D" w14:textId="77777777" w:rsidR="0022795A" w:rsidRPr="00D118BA" w:rsidRDefault="0022795A" w:rsidP="001E0142">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77E16691" w14:textId="77777777" w:rsidR="0022795A" w:rsidRPr="0022795A" w:rsidRDefault="0022795A" w:rsidP="0022795A">
            <w:pPr>
              <w:pStyle w:val="SDMTableBoxParaNotNumbered"/>
              <w:rPr>
                <w:bCs/>
                <w:iCs/>
                <w:lang w:val="en-US"/>
              </w:rPr>
            </w:pPr>
            <w:r w:rsidRPr="0022795A">
              <w:rPr>
                <w:bCs/>
                <w:lang w:val="en-US"/>
              </w:rPr>
              <w:t xml:space="preserve">Fraction of livestock category </w:t>
            </w:r>
            <w:r w:rsidRPr="0022795A">
              <w:rPr>
                <w:bCs/>
                <w:iCs/>
                <w:lang w:val="en-US"/>
              </w:rPr>
              <w:t>T'</w:t>
            </w:r>
            <w:r w:rsidRPr="0022795A">
              <w:rPr>
                <w:bCs/>
                <w:lang w:val="en-US"/>
              </w:rPr>
              <w:t>s manure not fed into the bio-digester,</w:t>
            </w:r>
          </w:p>
          <w:p w14:paraId="1D28C044" w14:textId="77777777" w:rsidR="0022795A" w:rsidRPr="0022795A" w:rsidRDefault="0022795A" w:rsidP="0022795A">
            <w:pPr>
              <w:rPr>
                <w:sz w:val="20"/>
              </w:rPr>
            </w:pPr>
            <w:r w:rsidRPr="0022795A">
              <w:rPr>
                <w:bCs/>
                <w:sz w:val="20"/>
                <w:lang w:val="en-US"/>
              </w:rPr>
              <w:t xml:space="preserve">in climate region </w:t>
            </w:r>
            <w:r w:rsidRPr="0022795A">
              <w:rPr>
                <w:bCs/>
                <w:iCs/>
                <w:sz w:val="20"/>
                <w:lang w:val="en-US"/>
              </w:rPr>
              <w:t>k</w:t>
            </w:r>
          </w:p>
        </w:tc>
      </w:tr>
      <w:tr w:rsidR="0022795A" w:rsidRPr="000C7CA3" w14:paraId="01D215F5" w14:textId="77777777" w:rsidTr="001E0142">
        <w:trPr>
          <w:cantSplit/>
          <w:jc w:val="center"/>
        </w:trPr>
        <w:tc>
          <w:tcPr>
            <w:tcW w:w="2696" w:type="dxa"/>
            <w:shd w:val="clear" w:color="auto" w:fill="D9D9D9"/>
            <w:tcMar>
              <w:top w:w="28" w:type="dxa"/>
              <w:left w:w="57" w:type="dxa"/>
              <w:bottom w:w="28" w:type="dxa"/>
              <w:right w:w="57" w:type="dxa"/>
            </w:tcMar>
            <w:vAlign w:val="center"/>
          </w:tcPr>
          <w:p w14:paraId="1265D11C" w14:textId="77777777" w:rsidR="0022795A" w:rsidRPr="00D118BA" w:rsidRDefault="0022795A" w:rsidP="001E0142">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6713E8AD" w14:textId="77777777" w:rsidR="0022795A" w:rsidRPr="0022795A" w:rsidRDefault="00682450" w:rsidP="001E0142">
            <w:pPr>
              <w:rPr>
                <w:sz w:val="20"/>
                <w:highlight w:val="yellow"/>
              </w:rPr>
            </w:pPr>
            <w:r>
              <w:rPr>
                <w:sz w:val="20"/>
              </w:rPr>
              <w:t>ABC VPA1 KE MP2 Surveys + Analysis, sheet ‘Analysis A’</w:t>
            </w:r>
          </w:p>
        </w:tc>
      </w:tr>
      <w:tr w:rsidR="0022795A" w:rsidRPr="000C7CA3" w14:paraId="5BBD8990" w14:textId="77777777" w:rsidTr="001E0142">
        <w:trPr>
          <w:cantSplit/>
          <w:jc w:val="center"/>
        </w:trPr>
        <w:tc>
          <w:tcPr>
            <w:tcW w:w="2696" w:type="dxa"/>
            <w:shd w:val="clear" w:color="auto" w:fill="D9D9D9"/>
            <w:tcMar>
              <w:top w:w="28" w:type="dxa"/>
              <w:left w:w="57" w:type="dxa"/>
              <w:bottom w:w="28" w:type="dxa"/>
              <w:right w:w="57" w:type="dxa"/>
            </w:tcMar>
            <w:vAlign w:val="center"/>
          </w:tcPr>
          <w:p w14:paraId="73A11B10" w14:textId="77777777" w:rsidR="0022795A" w:rsidRPr="00D118BA" w:rsidRDefault="0022795A" w:rsidP="001E0142">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06982476" w14:textId="77777777" w:rsidR="0022795A" w:rsidRDefault="0022795A" w:rsidP="001E0142">
            <w:pPr>
              <w:rPr>
                <w:sz w:val="20"/>
                <w:highlight w:val="yellow"/>
              </w:rPr>
            </w:pPr>
          </w:p>
          <w:tbl>
            <w:tblPr>
              <w:tblW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135"/>
            </w:tblGrid>
            <w:tr w:rsidR="00682450" w14:paraId="16B38E32" w14:textId="77777777" w:rsidTr="007A2D3E">
              <w:trPr>
                <w:trHeight w:val="47"/>
              </w:trPr>
              <w:tc>
                <w:tcPr>
                  <w:tcW w:w="3192" w:type="dxa"/>
                  <w:tcBorders>
                    <w:top w:val="single" w:sz="4" w:space="0" w:color="auto"/>
                    <w:left w:val="single" w:sz="4" w:space="0" w:color="auto"/>
                    <w:bottom w:val="single" w:sz="4" w:space="0" w:color="auto"/>
                    <w:right w:val="single" w:sz="4" w:space="0" w:color="auto"/>
                  </w:tcBorders>
                  <w:shd w:val="clear" w:color="auto" w:fill="D9D9D9"/>
                  <w:hideMark/>
                </w:tcPr>
                <w:p w14:paraId="15BB7FC9" w14:textId="77777777" w:rsidR="00682450" w:rsidRPr="00682450" w:rsidRDefault="00682450" w:rsidP="00682450">
                  <w:pPr>
                    <w:rPr>
                      <w:rFonts w:cs="Arial"/>
                      <w:b/>
                      <w:sz w:val="20"/>
                    </w:rPr>
                  </w:pPr>
                  <w:r>
                    <w:rPr>
                      <w:rFonts w:cs="Arial"/>
                      <w:b/>
                      <w:sz w:val="20"/>
                    </w:rPr>
                    <w:t>Animal T</w:t>
                  </w:r>
                </w:p>
              </w:tc>
              <w:tc>
                <w:tcPr>
                  <w:tcW w:w="2136" w:type="dxa"/>
                  <w:tcBorders>
                    <w:top w:val="single" w:sz="4" w:space="0" w:color="auto"/>
                    <w:left w:val="single" w:sz="4" w:space="0" w:color="auto"/>
                    <w:bottom w:val="single" w:sz="4" w:space="0" w:color="auto"/>
                    <w:right w:val="single" w:sz="4" w:space="0" w:color="auto"/>
                  </w:tcBorders>
                  <w:shd w:val="clear" w:color="auto" w:fill="D9D9D9"/>
                  <w:hideMark/>
                </w:tcPr>
                <w:p w14:paraId="55220F58" w14:textId="77777777" w:rsidR="00682450" w:rsidRPr="00682450" w:rsidRDefault="00682450" w:rsidP="00682450">
                  <w:pPr>
                    <w:rPr>
                      <w:rFonts w:cs="Arial"/>
                      <w:b/>
                      <w:sz w:val="20"/>
                    </w:rPr>
                  </w:pPr>
                  <w:r>
                    <w:rPr>
                      <w:rFonts w:cs="Arial"/>
                      <w:b/>
                      <w:sz w:val="20"/>
                    </w:rPr>
                    <w:t xml:space="preserve">Fraction </w:t>
                  </w:r>
                </w:p>
              </w:tc>
            </w:tr>
            <w:tr w:rsidR="00682450" w14:paraId="10F612B0" w14:textId="77777777" w:rsidTr="007A2D3E">
              <w:trPr>
                <w:trHeight w:val="69"/>
              </w:trPr>
              <w:tc>
                <w:tcPr>
                  <w:tcW w:w="3192" w:type="dxa"/>
                  <w:tcBorders>
                    <w:top w:val="single" w:sz="4" w:space="0" w:color="auto"/>
                    <w:left w:val="single" w:sz="4" w:space="0" w:color="auto"/>
                    <w:bottom w:val="single" w:sz="4" w:space="0" w:color="auto"/>
                    <w:right w:val="single" w:sz="4" w:space="0" w:color="auto"/>
                  </w:tcBorders>
                  <w:hideMark/>
                </w:tcPr>
                <w:p w14:paraId="0162C4DF" w14:textId="77777777" w:rsidR="00682450" w:rsidRPr="00682450" w:rsidRDefault="00682450" w:rsidP="00682450">
                  <w:pPr>
                    <w:rPr>
                      <w:rFonts w:cs="Arial"/>
                      <w:sz w:val="20"/>
                    </w:rPr>
                  </w:pPr>
                  <w:r w:rsidRPr="00682450">
                    <w:rPr>
                      <w:rFonts w:cs="Arial"/>
                      <w:sz w:val="20"/>
                    </w:rPr>
                    <w:t>Dairy c</w:t>
                  </w:r>
                  <w:r>
                    <w:rPr>
                      <w:rFonts w:cs="Arial"/>
                      <w:sz w:val="20"/>
                    </w:rPr>
                    <w:t>attle</w:t>
                  </w:r>
                </w:p>
              </w:tc>
              <w:tc>
                <w:tcPr>
                  <w:tcW w:w="2136" w:type="dxa"/>
                  <w:tcBorders>
                    <w:top w:val="single" w:sz="4" w:space="0" w:color="auto"/>
                    <w:left w:val="single" w:sz="4" w:space="0" w:color="auto"/>
                    <w:bottom w:val="single" w:sz="4" w:space="0" w:color="auto"/>
                    <w:right w:val="single" w:sz="4" w:space="0" w:color="auto"/>
                  </w:tcBorders>
                  <w:hideMark/>
                </w:tcPr>
                <w:p w14:paraId="45275509" w14:textId="77777777" w:rsidR="00682450" w:rsidRPr="00682450" w:rsidRDefault="00682450" w:rsidP="00682450">
                  <w:pPr>
                    <w:rPr>
                      <w:rFonts w:cs="Arial"/>
                      <w:sz w:val="20"/>
                    </w:rPr>
                  </w:pPr>
                  <w:r>
                    <w:rPr>
                      <w:rFonts w:cs="Arial"/>
                      <w:sz w:val="20"/>
                    </w:rPr>
                    <w:t>18.3%</w:t>
                  </w:r>
                </w:p>
              </w:tc>
            </w:tr>
            <w:tr w:rsidR="00682450" w14:paraId="7730D590" w14:textId="77777777" w:rsidTr="007A2D3E">
              <w:trPr>
                <w:trHeight w:val="168"/>
              </w:trPr>
              <w:tc>
                <w:tcPr>
                  <w:tcW w:w="3192" w:type="dxa"/>
                  <w:tcBorders>
                    <w:top w:val="single" w:sz="4" w:space="0" w:color="auto"/>
                    <w:left w:val="single" w:sz="4" w:space="0" w:color="auto"/>
                    <w:bottom w:val="single" w:sz="4" w:space="0" w:color="auto"/>
                    <w:right w:val="single" w:sz="4" w:space="0" w:color="auto"/>
                  </w:tcBorders>
                  <w:hideMark/>
                </w:tcPr>
                <w:p w14:paraId="4B37B5C4" w14:textId="77777777" w:rsidR="00682450" w:rsidRPr="00682450" w:rsidRDefault="00682450" w:rsidP="00682450">
                  <w:pPr>
                    <w:rPr>
                      <w:rFonts w:cs="Arial"/>
                      <w:sz w:val="20"/>
                    </w:rPr>
                  </w:pPr>
                  <w:r>
                    <w:rPr>
                      <w:rFonts w:cs="Arial"/>
                      <w:sz w:val="20"/>
                    </w:rPr>
                    <w:t>Other cattle</w:t>
                  </w:r>
                </w:p>
              </w:tc>
              <w:tc>
                <w:tcPr>
                  <w:tcW w:w="2136" w:type="dxa"/>
                  <w:tcBorders>
                    <w:top w:val="single" w:sz="4" w:space="0" w:color="auto"/>
                    <w:left w:val="single" w:sz="4" w:space="0" w:color="auto"/>
                    <w:bottom w:val="single" w:sz="4" w:space="0" w:color="auto"/>
                    <w:right w:val="single" w:sz="4" w:space="0" w:color="auto"/>
                  </w:tcBorders>
                  <w:hideMark/>
                </w:tcPr>
                <w:p w14:paraId="3344F326" w14:textId="77777777" w:rsidR="00682450" w:rsidRPr="00682450" w:rsidRDefault="00682450" w:rsidP="00682450">
                  <w:pPr>
                    <w:rPr>
                      <w:rFonts w:cs="Arial"/>
                      <w:sz w:val="20"/>
                    </w:rPr>
                  </w:pPr>
                  <w:r>
                    <w:rPr>
                      <w:rFonts w:cs="Arial"/>
                      <w:sz w:val="20"/>
                    </w:rPr>
                    <w:t>57.6%</w:t>
                  </w:r>
                </w:p>
              </w:tc>
            </w:tr>
            <w:tr w:rsidR="00682450" w14:paraId="2954589A" w14:textId="77777777" w:rsidTr="007A2D3E">
              <w:trPr>
                <w:trHeight w:val="159"/>
              </w:trPr>
              <w:tc>
                <w:tcPr>
                  <w:tcW w:w="3192" w:type="dxa"/>
                  <w:tcBorders>
                    <w:top w:val="single" w:sz="4" w:space="0" w:color="auto"/>
                    <w:left w:val="single" w:sz="4" w:space="0" w:color="auto"/>
                    <w:bottom w:val="single" w:sz="4" w:space="0" w:color="auto"/>
                    <w:right w:val="single" w:sz="4" w:space="0" w:color="auto"/>
                  </w:tcBorders>
                  <w:hideMark/>
                </w:tcPr>
                <w:p w14:paraId="277DF092" w14:textId="77777777" w:rsidR="00682450" w:rsidRPr="00682450" w:rsidRDefault="00682450" w:rsidP="00682450">
                  <w:pPr>
                    <w:rPr>
                      <w:rFonts w:cs="Arial"/>
                      <w:sz w:val="20"/>
                    </w:rPr>
                  </w:pPr>
                  <w:r w:rsidRPr="00682450">
                    <w:rPr>
                      <w:rFonts w:cs="Arial"/>
                      <w:sz w:val="20"/>
                    </w:rPr>
                    <w:t>Market swine</w:t>
                  </w:r>
                </w:p>
              </w:tc>
              <w:tc>
                <w:tcPr>
                  <w:tcW w:w="2136" w:type="dxa"/>
                  <w:tcBorders>
                    <w:top w:val="single" w:sz="4" w:space="0" w:color="auto"/>
                    <w:left w:val="single" w:sz="4" w:space="0" w:color="auto"/>
                    <w:bottom w:val="single" w:sz="4" w:space="0" w:color="auto"/>
                    <w:right w:val="single" w:sz="4" w:space="0" w:color="auto"/>
                  </w:tcBorders>
                  <w:hideMark/>
                </w:tcPr>
                <w:p w14:paraId="2582E33D" w14:textId="77777777" w:rsidR="00682450" w:rsidRPr="00682450" w:rsidRDefault="00682450" w:rsidP="00682450">
                  <w:pPr>
                    <w:rPr>
                      <w:rFonts w:cs="Arial"/>
                      <w:iCs/>
                      <w:sz w:val="20"/>
                    </w:rPr>
                  </w:pPr>
                  <w:r>
                    <w:rPr>
                      <w:rFonts w:cs="Arial"/>
                      <w:iCs/>
                      <w:sz w:val="20"/>
                    </w:rPr>
                    <w:t>50.0%</w:t>
                  </w:r>
                </w:p>
              </w:tc>
            </w:tr>
            <w:tr w:rsidR="00682450" w14:paraId="2D40C7C1" w14:textId="77777777" w:rsidTr="007A2D3E">
              <w:trPr>
                <w:trHeight w:val="69"/>
              </w:trPr>
              <w:tc>
                <w:tcPr>
                  <w:tcW w:w="3192" w:type="dxa"/>
                  <w:tcBorders>
                    <w:top w:val="single" w:sz="4" w:space="0" w:color="auto"/>
                    <w:left w:val="single" w:sz="4" w:space="0" w:color="auto"/>
                    <w:bottom w:val="single" w:sz="4" w:space="0" w:color="auto"/>
                    <w:right w:val="single" w:sz="4" w:space="0" w:color="auto"/>
                  </w:tcBorders>
                  <w:hideMark/>
                </w:tcPr>
                <w:p w14:paraId="23D7E3B0" w14:textId="77777777" w:rsidR="00682450" w:rsidRPr="00682450" w:rsidRDefault="00682450" w:rsidP="00682450">
                  <w:pPr>
                    <w:rPr>
                      <w:rFonts w:cs="Arial"/>
                      <w:sz w:val="20"/>
                    </w:rPr>
                  </w:pPr>
                  <w:r>
                    <w:rPr>
                      <w:rFonts w:cs="Arial"/>
                      <w:sz w:val="20"/>
                    </w:rPr>
                    <w:t>Breeding swine</w:t>
                  </w:r>
                </w:p>
              </w:tc>
              <w:tc>
                <w:tcPr>
                  <w:tcW w:w="2136" w:type="dxa"/>
                  <w:tcBorders>
                    <w:top w:val="single" w:sz="4" w:space="0" w:color="auto"/>
                    <w:left w:val="single" w:sz="4" w:space="0" w:color="auto"/>
                    <w:bottom w:val="single" w:sz="4" w:space="0" w:color="auto"/>
                    <w:right w:val="single" w:sz="4" w:space="0" w:color="auto"/>
                  </w:tcBorders>
                  <w:hideMark/>
                </w:tcPr>
                <w:p w14:paraId="2C46A550" w14:textId="77777777" w:rsidR="00682450" w:rsidRPr="00682450" w:rsidRDefault="00682450" w:rsidP="00682450">
                  <w:pPr>
                    <w:rPr>
                      <w:rFonts w:cs="Arial"/>
                      <w:sz w:val="20"/>
                    </w:rPr>
                  </w:pPr>
                  <w:r>
                    <w:rPr>
                      <w:rFonts w:cs="Arial"/>
                      <w:sz w:val="20"/>
                    </w:rPr>
                    <w:t>37.5%</w:t>
                  </w:r>
                </w:p>
              </w:tc>
            </w:tr>
            <w:tr w:rsidR="00682450" w14:paraId="6569FAB4" w14:textId="77777777" w:rsidTr="007A2D3E">
              <w:trPr>
                <w:trHeight w:val="132"/>
              </w:trPr>
              <w:tc>
                <w:tcPr>
                  <w:tcW w:w="3192" w:type="dxa"/>
                  <w:tcBorders>
                    <w:top w:val="single" w:sz="4" w:space="0" w:color="auto"/>
                    <w:left w:val="single" w:sz="4" w:space="0" w:color="auto"/>
                    <w:bottom w:val="single" w:sz="4" w:space="0" w:color="auto"/>
                    <w:right w:val="single" w:sz="4" w:space="0" w:color="auto"/>
                  </w:tcBorders>
                  <w:hideMark/>
                </w:tcPr>
                <w:p w14:paraId="293BFADA" w14:textId="77777777" w:rsidR="00682450" w:rsidRPr="00682450" w:rsidRDefault="00682450" w:rsidP="00682450">
                  <w:pPr>
                    <w:rPr>
                      <w:rFonts w:cs="Arial"/>
                      <w:sz w:val="20"/>
                    </w:rPr>
                  </w:pPr>
                  <w:r>
                    <w:rPr>
                      <w:rFonts w:cs="Arial"/>
                      <w:sz w:val="20"/>
                    </w:rPr>
                    <w:t>Poultry</w:t>
                  </w:r>
                </w:p>
              </w:tc>
              <w:tc>
                <w:tcPr>
                  <w:tcW w:w="2136" w:type="dxa"/>
                  <w:tcBorders>
                    <w:top w:val="single" w:sz="4" w:space="0" w:color="auto"/>
                    <w:left w:val="single" w:sz="4" w:space="0" w:color="auto"/>
                    <w:bottom w:val="single" w:sz="4" w:space="0" w:color="auto"/>
                    <w:right w:val="single" w:sz="4" w:space="0" w:color="auto"/>
                  </w:tcBorders>
                  <w:hideMark/>
                </w:tcPr>
                <w:p w14:paraId="7D133876" w14:textId="77777777" w:rsidR="00682450" w:rsidRPr="00682450" w:rsidRDefault="00682450" w:rsidP="00682450">
                  <w:pPr>
                    <w:rPr>
                      <w:rFonts w:cs="Arial"/>
                      <w:iCs/>
                      <w:sz w:val="20"/>
                    </w:rPr>
                  </w:pPr>
                  <w:r>
                    <w:rPr>
                      <w:rFonts w:cs="Arial"/>
                      <w:iCs/>
                      <w:sz w:val="20"/>
                    </w:rPr>
                    <w:t>100.0%</w:t>
                  </w:r>
                </w:p>
              </w:tc>
            </w:tr>
            <w:tr w:rsidR="00682450" w14:paraId="0EF89148" w14:textId="77777777" w:rsidTr="007A2D3E">
              <w:trPr>
                <w:trHeight w:val="47"/>
              </w:trPr>
              <w:tc>
                <w:tcPr>
                  <w:tcW w:w="3192" w:type="dxa"/>
                  <w:tcBorders>
                    <w:top w:val="single" w:sz="4" w:space="0" w:color="auto"/>
                    <w:left w:val="single" w:sz="4" w:space="0" w:color="auto"/>
                    <w:bottom w:val="single" w:sz="4" w:space="0" w:color="auto"/>
                    <w:right w:val="single" w:sz="4" w:space="0" w:color="auto"/>
                  </w:tcBorders>
                  <w:hideMark/>
                </w:tcPr>
                <w:p w14:paraId="2DC3C4B3" w14:textId="77777777" w:rsidR="00682450" w:rsidRPr="00682450" w:rsidRDefault="00682450" w:rsidP="00682450">
                  <w:pPr>
                    <w:rPr>
                      <w:rFonts w:cs="Arial"/>
                      <w:sz w:val="20"/>
                    </w:rPr>
                  </w:pPr>
                  <w:r>
                    <w:rPr>
                      <w:rFonts w:cs="Arial"/>
                      <w:sz w:val="20"/>
                    </w:rPr>
                    <w:t>Sheep</w:t>
                  </w:r>
                </w:p>
              </w:tc>
              <w:tc>
                <w:tcPr>
                  <w:tcW w:w="2136" w:type="dxa"/>
                  <w:tcBorders>
                    <w:top w:val="single" w:sz="4" w:space="0" w:color="auto"/>
                    <w:left w:val="single" w:sz="4" w:space="0" w:color="auto"/>
                    <w:bottom w:val="single" w:sz="4" w:space="0" w:color="auto"/>
                    <w:right w:val="single" w:sz="4" w:space="0" w:color="auto"/>
                  </w:tcBorders>
                  <w:hideMark/>
                </w:tcPr>
                <w:p w14:paraId="4A5DE3CA" w14:textId="77777777" w:rsidR="00682450" w:rsidRPr="00682450" w:rsidRDefault="00682450" w:rsidP="00682450">
                  <w:pPr>
                    <w:rPr>
                      <w:rFonts w:cs="Arial"/>
                      <w:iCs/>
                      <w:sz w:val="20"/>
                    </w:rPr>
                  </w:pPr>
                  <w:r>
                    <w:rPr>
                      <w:rFonts w:cs="Arial"/>
                      <w:iCs/>
                      <w:sz w:val="20"/>
                    </w:rPr>
                    <w:t>100.0%</w:t>
                  </w:r>
                </w:p>
              </w:tc>
            </w:tr>
            <w:tr w:rsidR="00682450" w14:paraId="79B30567" w14:textId="77777777" w:rsidTr="007A2D3E">
              <w:trPr>
                <w:trHeight w:val="47"/>
              </w:trPr>
              <w:tc>
                <w:tcPr>
                  <w:tcW w:w="3192" w:type="dxa"/>
                  <w:tcBorders>
                    <w:top w:val="single" w:sz="4" w:space="0" w:color="auto"/>
                    <w:left w:val="single" w:sz="4" w:space="0" w:color="auto"/>
                    <w:bottom w:val="single" w:sz="4" w:space="0" w:color="auto"/>
                    <w:right w:val="single" w:sz="4" w:space="0" w:color="auto"/>
                  </w:tcBorders>
                </w:tcPr>
                <w:p w14:paraId="70EA22E9" w14:textId="77777777" w:rsidR="00682450" w:rsidRDefault="00682450" w:rsidP="00682450">
                  <w:pPr>
                    <w:rPr>
                      <w:rFonts w:cs="Arial"/>
                      <w:sz w:val="20"/>
                    </w:rPr>
                  </w:pPr>
                  <w:r>
                    <w:rPr>
                      <w:rFonts w:cs="Arial"/>
                      <w:sz w:val="20"/>
                    </w:rPr>
                    <w:t>Goat</w:t>
                  </w:r>
                </w:p>
              </w:tc>
              <w:tc>
                <w:tcPr>
                  <w:tcW w:w="2136" w:type="dxa"/>
                  <w:tcBorders>
                    <w:top w:val="single" w:sz="4" w:space="0" w:color="auto"/>
                    <w:left w:val="single" w:sz="4" w:space="0" w:color="auto"/>
                    <w:bottom w:val="single" w:sz="4" w:space="0" w:color="auto"/>
                    <w:right w:val="single" w:sz="4" w:space="0" w:color="auto"/>
                  </w:tcBorders>
                </w:tcPr>
                <w:p w14:paraId="614A47D8" w14:textId="77777777" w:rsidR="00682450" w:rsidRPr="00682450" w:rsidRDefault="00682450" w:rsidP="00682450">
                  <w:pPr>
                    <w:rPr>
                      <w:rFonts w:cs="Arial"/>
                      <w:iCs/>
                      <w:sz w:val="20"/>
                    </w:rPr>
                  </w:pPr>
                  <w:r>
                    <w:rPr>
                      <w:rFonts w:cs="Arial"/>
                      <w:iCs/>
                      <w:sz w:val="20"/>
                    </w:rPr>
                    <w:t>100.0%</w:t>
                  </w:r>
                </w:p>
              </w:tc>
            </w:tr>
          </w:tbl>
          <w:p w14:paraId="63E33BC0" w14:textId="77777777" w:rsidR="00682450" w:rsidRDefault="00682450" w:rsidP="001E0142">
            <w:pPr>
              <w:rPr>
                <w:sz w:val="20"/>
                <w:highlight w:val="yellow"/>
              </w:rPr>
            </w:pPr>
          </w:p>
          <w:p w14:paraId="1F780DFE" w14:textId="77777777" w:rsidR="00682450" w:rsidRPr="0022795A" w:rsidRDefault="00682450" w:rsidP="001E0142">
            <w:pPr>
              <w:rPr>
                <w:sz w:val="20"/>
                <w:highlight w:val="yellow"/>
              </w:rPr>
            </w:pPr>
          </w:p>
        </w:tc>
      </w:tr>
      <w:tr w:rsidR="0022795A" w:rsidRPr="000C7CA3" w14:paraId="30903E06" w14:textId="77777777" w:rsidTr="001E0142">
        <w:trPr>
          <w:cantSplit/>
          <w:jc w:val="center"/>
        </w:trPr>
        <w:tc>
          <w:tcPr>
            <w:tcW w:w="2696" w:type="dxa"/>
            <w:shd w:val="clear" w:color="auto" w:fill="D9D9D9"/>
            <w:tcMar>
              <w:top w:w="28" w:type="dxa"/>
              <w:left w:w="57" w:type="dxa"/>
              <w:bottom w:w="28" w:type="dxa"/>
              <w:right w:w="57" w:type="dxa"/>
            </w:tcMar>
            <w:vAlign w:val="center"/>
          </w:tcPr>
          <w:p w14:paraId="11532D4F" w14:textId="77777777" w:rsidR="0022795A" w:rsidRPr="00D118BA" w:rsidRDefault="0022795A" w:rsidP="001E0142">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3EFDFAED" w14:textId="77777777" w:rsidR="0022795A" w:rsidRPr="0022795A" w:rsidRDefault="0022795A" w:rsidP="001E0142">
            <w:pPr>
              <w:rPr>
                <w:sz w:val="20"/>
              </w:rPr>
            </w:pPr>
            <w:r w:rsidRPr="0022795A">
              <w:rPr>
                <w:bCs/>
                <w:sz w:val="20"/>
              </w:rPr>
              <w:t>Households/communities/SMEs have been asked to estimate the fraction of their animal’s manure that is not fed into the biogas digester for the different relevant livestock categories.</w:t>
            </w:r>
          </w:p>
        </w:tc>
      </w:tr>
      <w:tr w:rsidR="0022795A" w:rsidRPr="000C7CA3" w14:paraId="1D4C9169" w14:textId="77777777" w:rsidTr="001E0142">
        <w:trPr>
          <w:cantSplit/>
          <w:jc w:val="center"/>
        </w:trPr>
        <w:tc>
          <w:tcPr>
            <w:tcW w:w="2696" w:type="dxa"/>
            <w:shd w:val="clear" w:color="auto" w:fill="D9D9D9"/>
            <w:tcMar>
              <w:top w:w="28" w:type="dxa"/>
              <w:left w:w="57" w:type="dxa"/>
              <w:bottom w:w="28" w:type="dxa"/>
              <w:right w:w="57" w:type="dxa"/>
            </w:tcMar>
            <w:vAlign w:val="center"/>
          </w:tcPr>
          <w:p w14:paraId="28A8438C" w14:textId="77777777" w:rsidR="0022795A" w:rsidRPr="00D118BA" w:rsidRDefault="0022795A" w:rsidP="001E0142">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5A3423C1" w14:textId="77777777" w:rsidR="0022795A" w:rsidRPr="0022795A" w:rsidRDefault="0022795A" w:rsidP="001E0142">
            <w:pPr>
              <w:rPr>
                <w:sz w:val="20"/>
              </w:rPr>
            </w:pPr>
            <w:r w:rsidRPr="0022795A">
              <w:rPr>
                <w:bCs/>
                <w:sz w:val="20"/>
              </w:rPr>
              <w:t>Annual</w:t>
            </w:r>
          </w:p>
        </w:tc>
      </w:tr>
      <w:tr w:rsidR="0022795A" w:rsidRPr="000C7CA3" w14:paraId="1BC7D3B9" w14:textId="77777777" w:rsidTr="001E0142">
        <w:trPr>
          <w:cantSplit/>
          <w:jc w:val="center"/>
        </w:trPr>
        <w:tc>
          <w:tcPr>
            <w:tcW w:w="2696" w:type="dxa"/>
            <w:shd w:val="clear" w:color="auto" w:fill="D9D9D9"/>
            <w:tcMar>
              <w:top w:w="28" w:type="dxa"/>
              <w:left w:w="57" w:type="dxa"/>
              <w:bottom w:w="28" w:type="dxa"/>
              <w:right w:w="57" w:type="dxa"/>
            </w:tcMar>
            <w:vAlign w:val="center"/>
          </w:tcPr>
          <w:p w14:paraId="1D732B02" w14:textId="77777777" w:rsidR="0022795A" w:rsidRPr="00D118BA" w:rsidRDefault="0022795A" w:rsidP="001E0142">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6645B89A" w14:textId="77777777" w:rsidR="0022795A" w:rsidRPr="0022795A" w:rsidRDefault="0022795A" w:rsidP="001E0142">
            <w:pPr>
              <w:rPr>
                <w:sz w:val="20"/>
              </w:rPr>
            </w:pPr>
            <w:r w:rsidRPr="0022795A">
              <w:rPr>
                <w:bCs/>
                <w:sz w:val="20"/>
              </w:rPr>
              <w:t>To account for void responses and lack of availability of some households/communities/SMEs on the day of the survey, at least 10 additional households should be questioned.</w:t>
            </w:r>
          </w:p>
        </w:tc>
      </w:tr>
      <w:tr w:rsidR="0022795A" w:rsidRPr="000C7CA3" w14:paraId="49B6663D" w14:textId="77777777" w:rsidTr="001E0142">
        <w:trPr>
          <w:cantSplit/>
          <w:jc w:val="center"/>
        </w:trPr>
        <w:tc>
          <w:tcPr>
            <w:tcW w:w="2696" w:type="dxa"/>
            <w:shd w:val="clear" w:color="auto" w:fill="D9D9D9"/>
            <w:tcMar>
              <w:top w:w="28" w:type="dxa"/>
              <w:left w:w="57" w:type="dxa"/>
              <w:bottom w:w="28" w:type="dxa"/>
              <w:right w:w="57" w:type="dxa"/>
            </w:tcMar>
            <w:vAlign w:val="center"/>
          </w:tcPr>
          <w:p w14:paraId="5C1229A3" w14:textId="77777777" w:rsidR="0022795A" w:rsidRPr="00D118BA" w:rsidRDefault="0022795A" w:rsidP="001E0142">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3FD42C5B" w14:textId="77777777" w:rsidR="0022795A" w:rsidRPr="0022795A" w:rsidRDefault="0022795A" w:rsidP="001E0142">
            <w:pPr>
              <w:rPr>
                <w:sz w:val="20"/>
              </w:rPr>
            </w:pPr>
            <w:r w:rsidRPr="0022795A">
              <w:rPr>
                <w:bCs/>
                <w:sz w:val="20"/>
              </w:rPr>
              <w:t>Calculation of project emissions</w:t>
            </w:r>
          </w:p>
        </w:tc>
      </w:tr>
      <w:tr w:rsidR="0022795A" w:rsidRPr="000C7CA3" w14:paraId="0D89459B" w14:textId="77777777" w:rsidTr="001E0142">
        <w:trPr>
          <w:cantSplit/>
          <w:jc w:val="center"/>
        </w:trPr>
        <w:tc>
          <w:tcPr>
            <w:tcW w:w="2696" w:type="dxa"/>
            <w:shd w:val="clear" w:color="auto" w:fill="D9D9D9"/>
            <w:tcMar>
              <w:top w:w="28" w:type="dxa"/>
              <w:left w:w="57" w:type="dxa"/>
              <w:bottom w:w="28" w:type="dxa"/>
              <w:right w:w="57" w:type="dxa"/>
            </w:tcMar>
            <w:vAlign w:val="center"/>
          </w:tcPr>
          <w:p w14:paraId="757D216D" w14:textId="77777777" w:rsidR="0022795A" w:rsidRPr="00D118BA" w:rsidRDefault="0022795A" w:rsidP="001E0142">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5C7848AF" w14:textId="77777777" w:rsidR="0022795A" w:rsidRPr="0022795A" w:rsidRDefault="0022795A" w:rsidP="001E0142">
            <w:pPr>
              <w:rPr>
                <w:sz w:val="20"/>
              </w:rPr>
            </w:pPr>
            <w:r w:rsidRPr="0022795A">
              <w:rPr>
                <w:bCs/>
                <w:sz w:val="20"/>
              </w:rPr>
              <w:t>N/A</w:t>
            </w:r>
          </w:p>
        </w:tc>
      </w:tr>
    </w:tbl>
    <w:p w14:paraId="66401197" w14:textId="77777777" w:rsidR="0022795A" w:rsidRDefault="0022795A"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22795A" w:rsidRPr="000C7CA3" w14:paraId="7BF7E06B" w14:textId="77777777" w:rsidTr="001E0142">
        <w:trPr>
          <w:cantSplit/>
          <w:jc w:val="center"/>
        </w:trPr>
        <w:tc>
          <w:tcPr>
            <w:tcW w:w="2696" w:type="dxa"/>
            <w:shd w:val="clear" w:color="auto" w:fill="D9D9D9"/>
            <w:tcMar>
              <w:top w:w="28" w:type="dxa"/>
              <w:left w:w="57" w:type="dxa"/>
              <w:bottom w:w="28" w:type="dxa"/>
              <w:right w:w="57" w:type="dxa"/>
            </w:tcMar>
            <w:vAlign w:val="center"/>
          </w:tcPr>
          <w:p w14:paraId="42EFB63B" w14:textId="77777777" w:rsidR="0022795A" w:rsidRPr="0022795A" w:rsidRDefault="0022795A" w:rsidP="001E0142">
            <w:pPr>
              <w:rPr>
                <w:b/>
                <w:sz w:val="20"/>
              </w:rPr>
            </w:pPr>
            <w:r w:rsidRPr="0022795A">
              <w:rPr>
                <w:b/>
                <w:sz w:val="20"/>
              </w:rPr>
              <w:t>Data/Parameter</w:t>
            </w:r>
          </w:p>
        </w:tc>
        <w:tc>
          <w:tcPr>
            <w:tcW w:w="6933" w:type="dxa"/>
            <w:shd w:val="clear" w:color="auto" w:fill="auto"/>
            <w:tcMar>
              <w:top w:w="28" w:type="dxa"/>
              <w:left w:w="57" w:type="dxa"/>
              <w:bottom w:w="28" w:type="dxa"/>
              <w:right w:w="57" w:type="dxa"/>
            </w:tcMar>
            <w:vAlign w:val="center"/>
          </w:tcPr>
          <w:p w14:paraId="012ED040" w14:textId="77777777" w:rsidR="0022795A" w:rsidRPr="0022795A" w:rsidRDefault="0022795A" w:rsidP="001E0142">
            <w:pPr>
              <w:rPr>
                <w:sz w:val="20"/>
              </w:rPr>
            </w:pPr>
            <w:r w:rsidRPr="0022795A">
              <w:rPr>
                <w:b/>
                <w:bCs/>
                <w:sz w:val="20"/>
              </w:rPr>
              <w:t>GWP</w:t>
            </w:r>
            <w:r w:rsidRPr="0022795A">
              <w:rPr>
                <w:b/>
                <w:bCs/>
                <w:sz w:val="20"/>
                <w:vertAlign w:val="subscript"/>
              </w:rPr>
              <w:t>CH4</w:t>
            </w:r>
          </w:p>
        </w:tc>
      </w:tr>
      <w:tr w:rsidR="0022795A" w:rsidRPr="000C7CA3" w14:paraId="60964CCD" w14:textId="77777777" w:rsidTr="001E0142">
        <w:trPr>
          <w:cantSplit/>
          <w:jc w:val="center"/>
        </w:trPr>
        <w:tc>
          <w:tcPr>
            <w:tcW w:w="2696" w:type="dxa"/>
            <w:shd w:val="clear" w:color="auto" w:fill="D9D9D9"/>
            <w:tcMar>
              <w:top w:w="28" w:type="dxa"/>
              <w:left w:w="57" w:type="dxa"/>
              <w:bottom w:w="28" w:type="dxa"/>
              <w:right w:w="57" w:type="dxa"/>
            </w:tcMar>
            <w:vAlign w:val="center"/>
          </w:tcPr>
          <w:p w14:paraId="6F695969" w14:textId="77777777" w:rsidR="0022795A" w:rsidRPr="0022795A" w:rsidRDefault="0022795A" w:rsidP="001E0142">
            <w:pPr>
              <w:rPr>
                <w:sz w:val="20"/>
              </w:rPr>
            </w:pPr>
            <w:r w:rsidRPr="0022795A">
              <w:rPr>
                <w:sz w:val="20"/>
              </w:rPr>
              <w:t>Data unit</w:t>
            </w:r>
          </w:p>
        </w:tc>
        <w:tc>
          <w:tcPr>
            <w:tcW w:w="6933" w:type="dxa"/>
            <w:shd w:val="clear" w:color="auto" w:fill="auto"/>
            <w:tcMar>
              <w:top w:w="28" w:type="dxa"/>
              <w:left w:w="57" w:type="dxa"/>
              <w:bottom w:w="28" w:type="dxa"/>
              <w:right w:w="57" w:type="dxa"/>
            </w:tcMar>
            <w:vAlign w:val="center"/>
          </w:tcPr>
          <w:p w14:paraId="37981625" w14:textId="77777777" w:rsidR="0022795A" w:rsidRPr="0022795A" w:rsidRDefault="0022795A" w:rsidP="001E0142">
            <w:pPr>
              <w:rPr>
                <w:sz w:val="20"/>
              </w:rPr>
            </w:pPr>
            <w:r w:rsidRPr="0022795A">
              <w:rPr>
                <w:bCs/>
                <w:sz w:val="20"/>
              </w:rPr>
              <w:t>Unit</w:t>
            </w:r>
          </w:p>
        </w:tc>
      </w:tr>
      <w:tr w:rsidR="0022795A" w:rsidRPr="000C7CA3" w14:paraId="0D976F2E" w14:textId="77777777" w:rsidTr="001E0142">
        <w:trPr>
          <w:cantSplit/>
          <w:jc w:val="center"/>
        </w:trPr>
        <w:tc>
          <w:tcPr>
            <w:tcW w:w="2696" w:type="dxa"/>
            <w:shd w:val="clear" w:color="auto" w:fill="D9D9D9"/>
            <w:tcMar>
              <w:top w:w="28" w:type="dxa"/>
              <w:left w:w="57" w:type="dxa"/>
              <w:bottom w:w="28" w:type="dxa"/>
              <w:right w:w="57" w:type="dxa"/>
            </w:tcMar>
            <w:vAlign w:val="center"/>
          </w:tcPr>
          <w:p w14:paraId="010D39A1" w14:textId="77777777" w:rsidR="0022795A" w:rsidRPr="0022795A" w:rsidRDefault="0022795A" w:rsidP="001E0142">
            <w:pPr>
              <w:rPr>
                <w:sz w:val="20"/>
              </w:rPr>
            </w:pPr>
            <w:r w:rsidRPr="0022795A">
              <w:rPr>
                <w:sz w:val="20"/>
              </w:rPr>
              <w:t>Description</w:t>
            </w:r>
          </w:p>
        </w:tc>
        <w:tc>
          <w:tcPr>
            <w:tcW w:w="6933" w:type="dxa"/>
            <w:shd w:val="clear" w:color="auto" w:fill="auto"/>
            <w:tcMar>
              <w:top w:w="28" w:type="dxa"/>
              <w:left w:w="57" w:type="dxa"/>
              <w:bottom w:w="28" w:type="dxa"/>
              <w:right w:w="57" w:type="dxa"/>
            </w:tcMar>
            <w:vAlign w:val="center"/>
          </w:tcPr>
          <w:p w14:paraId="73689134" w14:textId="77777777" w:rsidR="0022795A" w:rsidRPr="0022795A" w:rsidRDefault="0022795A" w:rsidP="001E0142">
            <w:pPr>
              <w:rPr>
                <w:sz w:val="20"/>
              </w:rPr>
            </w:pPr>
            <w:r w:rsidRPr="0022795A">
              <w:rPr>
                <w:bCs/>
                <w:sz w:val="20"/>
              </w:rPr>
              <w:t>Global Warming Potential of methane</w:t>
            </w:r>
          </w:p>
        </w:tc>
      </w:tr>
      <w:tr w:rsidR="0022795A" w:rsidRPr="000C7CA3" w14:paraId="599FBF1A" w14:textId="77777777" w:rsidTr="001E0142">
        <w:trPr>
          <w:cantSplit/>
          <w:jc w:val="center"/>
        </w:trPr>
        <w:tc>
          <w:tcPr>
            <w:tcW w:w="2696" w:type="dxa"/>
            <w:shd w:val="clear" w:color="auto" w:fill="D9D9D9"/>
            <w:tcMar>
              <w:top w:w="28" w:type="dxa"/>
              <w:left w:w="57" w:type="dxa"/>
              <w:bottom w:w="28" w:type="dxa"/>
              <w:right w:w="57" w:type="dxa"/>
            </w:tcMar>
            <w:vAlign w:val="center"/>
          </w:tcPr>
          <w:p w14:paraId="0590FD53" w14:textId="77777777" w:rsidR="0022795A" w:rsidRPr="0022795A" w:rsidRDefault="0022795A" w:rsidP="001E0142">
            <w:pPr>
              <w:rPr>
                <w:sz w:val="20"/>
              </w:rPr>
            </w:pPr>
            <w:r w:rsidRPr="0022795A">
              <w:rPr>
                <w:sz w:val="20"/>
              </w:rPr>
              <w:t>Source of data</w:t>
            </w:r>
          </w:p>
        </w:tc>
        <w:tc>
          <w:tcPr>
            <w:tcW w:w="6933" w:type="dxa"/>
            <w:shd w:val="clear" w:color="auto" w:fill="auto"/>
            <w:tcMar>
              <w:top w:w="28" w:type="dxa"/>
              <w:left w:w="57" w:type="dxa"/>
              <w:bottom w:w="28" w:type="dxa"/>
              <w:right w:w="57" w:type="dxa"/>
            </w:tcMar>
            <w:vAlign w:val="center"/>
          </w:tcPr>
          <w:p w14:paraId="265302D0" w14:textId="77777777" w:rsidR="0022795A" w:rsidRPr="0022795A" w:rsidRDefault="00CF6286" w:rsidP="00DD04FE">
            <w:pPr>
              <w:rPr>
                <w:sz w:val="20"/>
              </w:rPr>
            </w:pPr>
            <w:r>
              <w:rPr>
                <w:bCs/>
                <w:sz w:val="20"/>
              </w:rPr>
              <w:t xml:space="preserve">IPCC </w:t>
            </w:r>
            <w:r w:rsidR="00DD04FE">
              <w:rPr>
                <w:bCs/>
                <w:sz w:val="20"/>
              </w:rPr>
              <w:t>Fourth</w:t>
            </w:r>
            <w:r>
              <w:rPr>
                <w:bCs/>
                <w:sz w:val="20"/>
              </w:rPr>
              <w:t xml:space="preserve"> Assessment Report</w:t>
            </w:r>
          </w:p>
        </w:tc>
      </w:tr>
      <w:tr w:rsidR="0022795A" w:rsidRPr="000C7CA3" w14:paraId="6C882FCC" w14:textId="77777777" w:rsidTr="001E0142">
        <w:trPr>
          <w:cantSplit/>
          <w:jc w:val="center"/>
        </w:trPr>
        <w:tc>
          <w:tcPr>
            <w:tcW w:w="2696" w:type="dxa"/>
            <w:shd w:val="clear" w:color="auto" w:fill="D9D9D9"/>
            <w:tcMar>
              <w:top w:w="28" w:type="dxa"/>
              <w:left w:w="57" w:type="dxa"/>
              <w:bottom w:w="28" w:type="dxa"/>
              <w:right w:w="57" w:type="dxa"/>
            </w:tcMar>
            <w:vAlign w:val="center"/>
          </w:tcPr>
          <w:p w14:paraId="6073249B" w14:textId="77777777" w:rsidR="0022795A" w:rsidRPr="0022795A" w:rsidRDefault="0022795A" w:rsidP="001E0142">
            <w:pPr>
              <w:rPr>
                <w:sz w:val="20"/>
              </w:rPr>
            </w:pPr>
            <w:r w:rsidRPr="0022795A">
              <w:rPr>
                <w:rFonts w:hint="eastAsia"/>
                <w:sz w:val="20"/>
              </w:rPr>
              <w:t>Value</w:t>
            </w:r>
            <w:r w:rsidRPr="0022795A">
              <w:rPr>
                <w:sz w:val="20"/>
              </w:rPr>
              <w:t>(s)</w:t>
            </w:r>
            <w:r w:rsidRPr="0022795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3C50382F" w14:textId="77777777" w:rsidR="0022795A" w:rsidRPr="0022795A" w:rsidRDefault="00DD04FE" w:rsidP="00C153CF">
            <w:pPr>
              <w:pStyle w:val="SDMTableBoxParaNotNumbered"/>
            </w:pPr>
            <w:r>
              <w:rPr>
                <w:bCs/>
              </w:rPr>
              <w:t>25</w:t>
            </w:r>
          </w:p>
        </w:tc>
      </w:tr>
      <w:tr w:rsidR="0022795A" w:rsidRPr="000C7CA3" w14:paraId="5023488E" w14:textId="77777777" w:rsidTr="001E0142">
        <w:trPr>
          <w:cantSplit/>
          <w:jc w:val="center"/>
        </w:trPr>
        <w:tc>
          <w:tcPr>
            <w:tcW w:w="2696" w:type="dxa"/>
            <w:shd w:val="clear" w:color="auto" w:fill="D9D9D9"/>
            <w:tcMar>
              <w:top w:w="28" w:type="dxa"/>
              <w:left w:w="57" w:type="dxa"/>
              <w:bottom w:w="28" w:type="dxa"/>
              <w:right w:w="57" w:type="dxa"/>
            </w:tcMar>
            <w:vAlign w:val="center"/>
          </w:tcPr>
          <w:p w14:paraId="3F9EA550" w14:textId="77777777" w:rsidR="0022795A" w:rsidRPr="0022795A" w:rsidRDefault="0022795A" w:rsidP="001E0142">
            <w:pPr>
              <w:jc w:val="left"/>
              <w:rPr>
                <w:sz w:val="20"/>
              </w:rPr>
            </w:pPr>
            <w:r w:rsidRPr="0022795A">
              <w:rPr>
                <w:sz w:val="20"/>
              </w:rPr>
              <w:lastRenderedPageBreak/>
              <w:t>Measurement methods and procedures</w:t>
            </w:r>
          </w:p>
        </w:tc>
        <w:tc>
          <w:tcPr>
            <w:tcW w:w="6933" w:type="dxa"/>
            <w:shd w:val="clear" w:color="auto" w:fill="auto"/>
            <w:tcMar>
              <w:top w:w="28" w:type="dxa"/>
              <w:left w:w="57" w:type="dxa"/>
              <w:bottom w:w="28" w:type="dxa"/>
              <w:right w:w="57" w:type="dxa"/>
            </w:tcMar>
            <w:vAlign w:val="center"/>
          </w:tcPr>
          <w:p w14:paraId="4438BFCF" w14:textId="77777777" w:rsidR="0022795A" w:rsidRPr="0022795A" w:rsidRDefault="0022795A" w:rsidP="001E0142">
            <w:pPr>
              <w:rPr>
                <w:sz w:val="20"/>
              </w:rPr>
            </w:pPr>
            <w:r w:rsidRPr="0022795A">
              <w:rPr>
                <w:bCs/>
                <w:sz w:val="20"/>
              </w:rPr>
              <w:t>The IPCC guidelines will be checked on an annual basis during verification to determine if the GWP of methane has changed from the above.</w:t>
            </w:r>
          </w:p>
        </w:tc>
      </w:tr>
      <w:tr w:rsidR="0022795A" w:rsidRPr="000C7CA3" w14:paraId="77A2976F" w14:textId="77777777" w:rsidTr="001E0142">
        <w:trPr>
          <w:cantSplit/>
          <w:jc w:val="center"/>
        </w:trPr>
        <w:tc>
          <w:tcPr>
            <w:tcW w:w="2696" w:type="dxa"/>
            <w:shd w:val="clear" w:color="auto" w:fill="D9D9D9"/>
            <w:tcMar>
              <w:top w:w="28" w:type="dxa"/>
              <w:left w:w="57" w:type="dxa"/>
              <w:bottom w:w="28" w:type="dxa"/>
              <w:right w:w="57" w:type="dxa"/>
            </w:tcMar>
            <w:vAlign w:val="center"/>
          </w:tcPr>
          <w:p w14:paraId="74A3600D" w14:textId="77777777" w:rsidR="0022795A" w:rsidRPr="0022795A" w:rsidRDefault="0022795A" w:rsidP="001E0142">
            <w:pPr>
              <w:rPr>
                <w:sz w:val="20"/>
              </w:rPr>
            </w:pPr>
            <w:r w:rsidRPr="0022795A">
              <w:rPr>
                <w:sz w:val="20"/>
              </w:rPr>
              <w:t>Monitoring frequency</w:t>
            </w:r>
          </w:p>
        </w:tc>
        <w:tc>
          <w:tcPr>
            <w:tcW w:w="6933" w:type="dxa"/>
            <w:shd w:val="clear" w:color="auto" w:fill="auto"/>
            <w:tcMar>
              <w:top w:w="28" w:type="dxa"/>
              <w:left w:w="57" w:type="dxa"/>
              <w:bottom w:w="28" w:type="dxa"/>
              <w:right w:w="57" w:type="dxa"/>
            </w:tcMar>
            <w:vAlign w:val="center"/>
          </w:tcPr>
          <w:p w14:paraId="3AA8C537" w14:textId="77777777" w:rsidR="0022795A" w:rsidRPr="0022795A" w:rsidRDefault="0022795A" w:rsidP="001E0142">
            <w:pPr>
              <w:rPr>
                <w:sz w:val="20"/>
              </w:rPr>
            </w:pPr>
            <w:r w:rsidRPr="0022795A">
              <w:rPr>
                <w:bCs/>
                <w:sz w:val="20"/>
              </w:rPr>
              <w:t>Annual</w:t>
            </w:r>
          </w:p>
        </w:tc>
      </w:tr>
      <w:tr w:rsidR="0022795A" w:rsidRPr="000C7CA3" w14:paraId="4031A867" w14:textId="77777777" w:rsidTr="001E0142">
        <w:trPr>
          <w:cantSplit/>
          <w:jc w:val="center"/>
        </w:trPr>
        <w:tc>
          <w:tcPr>
            <w:tcW w:w="2696" w:type="dxa"/>
            <w:shd w:val="clear" w:color="auto" w:fill="D9D9D9"/>
            <w:tcMar>
              <w:top w:w="28" w:type="dxa"/>
              <w:left w:w="57" w:type="dxa"/>
              <w:bottom w:w="28" w:type="dxa"/>
              <w:right w:w="57" w:type="dxa"/>
            </w:tcMar>
            <w:vAlign w:val="center"/>
          </w:tcPr>
          <w:p w14:paraId="33986FF7" w14:textId="77777777" w:rsidR="0022795A" w:rsidRPr="0022795A" w:rsidRDefault="0022795A" w:rsidP="001E0142">
            <w:pPr>
              <w:rPr>
                <w:sz w:val="20"/>
              </w:rPr>
            </w:pPr>
            <w:r w:rsidRPr="0022795A">
              <w:rPr>
                <w:sz w:val="20"/>
              </w:rPr>
              <w:t>QA/QC procedures</w:t>
            </w:r>
          </w:p>
        </w:tc>
        <w:tc>
          <w:tcPr>
            <w:tcW w:w="6933" w:type="dxa"/>
            <w:shd w:val="clear" w:color="auto" w:fill="auto"/>
            <w:tcMar>
              <w:top w:w="28" w:type="dxa"/>
              <w:left w:w="57" w:type="dxa"/>
              <w:bottom w:w="28" w:type="dxa"/>
              <w:right w:w="57" w:type="dxa"/>
            </w:tcMar>
            <w:vAlign w:val="center"/>
          </w:tcPr>
          <w:p w14:paraId="7A0C2D45" w14:textId="77777777" w:rsidR="0022795A" w:rsidRPr="0022795A" w:rsidRDefault="0022795A" w:rsidP="001E0142">
            <w:pPr>
              <w:rPr>
                <w:sz w:val="20"/>
              </w:rPr>
            </w:pPr>
            <w:r w:rsidRPr="0022795A">
              <w:rPr>
                <w:bCs/>
                <w:sz w:val="20"/>
              </w:rPr>
              <w:t>As per the Gold Standard’s rule update ‘The application of Global Warming Potentials for Gold Standard project activities’</w:t>
            </w:r>
          </w:p>
        </w:tc>
      </w:tr>
      <w:tr w:rsidR="0022795A" w:rsidRPr="000C7CA3" w14:paraId="6FFA8370" w14:textId="77777777" w:rsidTr="001E0142">
        <w:trPr>
          <w:cantSplit/>
          <w:jc w:val="center"/>
        </w:trPr>
        <w:tc>
          <w:tcPr>
            <w:tcW w:w="2696" w:type="dxa"/>
            <w:shd w:val="clear" w:color="auto" w:fill="D9D9D9"/>
            <w:tcMar>
              <w:top w:w="28" w:type="dxa"/>
              <w:left w:w="57" w:type="dxa"/>
              <w:bottom w:w="28" w:type="dxa"/>
              <w:right w:w="57" w:type="dxa"/>
            </w:tcMar>
            <w:vAlign w:val="center"/>
          </w:tcPr>
          <w:p w14:paraId="4C164678" w14:textId="77777777" w:rsidR="0022795A" w:rsidRPr="0022795A" w:rsidRDefault="0022795A" w:rsidP="001E0142">
            <w:pPr>
              <w:rPr>
                <w:sz w:val="20"/>
              </w:rPr>
            </w:pPr>
            <w:r w:rsidRPr="0022795A">
              <w:rPr>
                <w:sz w:val="20"/>
              </w:rPr>
              <w:t>Purpose of data</w:t>
            </w:r>
          </w:p>
        </w:tc>
        <w:tc>
          <w:tcPr>
            <w:tcW w:w="6933" w:type="dxa"/>
            <w:shd w:val="clear" w:color="auto" w:fill="auto"/>
            <w:tcMar>
              <w:top w:w="28" w:type="dxa"/>
              <w:left w:w="57" w:type="dxa"/>
              <w:bottom w:w="28" w:type="dxa"/>
              <w:right w:w="57" w:type="dxa"/>
            </w:tcMar>
            <w:vAlign w:val="center"/>
          </w:tcPr>
          <w:p w14:paraId="0D9A3546" w14:textId="77777777" w:rsidR="0022795A" w:rsidRPr="0022795A" w:rsidRDefault="0022795A" w:rsidP="001E0142">
            <w:pPr>
              <w:rPr>
                <w:sz w:val="20"/>
              </w:rPr>
            </w:pPr>
            <w:r w:rsidRPr="0022795A">
              <w:rPr>
                <w:bCs/>
                <w:sz w:val="20"/>
              </w:rPr>
              <w:t>Calculation of project emissions</w:t>
            </w:r>
          </w:p>
        </w:tc>
      </w:tr>
      <w:tr w:rsidR="0022795A" w:rsidRPr="000C7CA3" w14:paraId="750804A7" w14:textId="77777777" w:rsidTr="001E0142">
        <w:trPr>
          <w:cantSplit/>
          <w:jc w:val="center"/>
        </w:trPr>
        <w:tc>
          <w:tcPr>
            <w:tcW w:w="2696" w:type="dxa"/>
            <w:shd w:val="clear" w:color="auto" w:fill="D9D9D9"/>
            <w:tcMar>
              <w:top w:w="28" w:type="dxa"/>
              <w:left w:w="57" w:type="dxa"/>
              <w:bottom w:w="28" w:type="dxa"/>
              <w:right w:w="57" w:type="dxa"/>
            </w:tcMar>
            <w:vAlign w:val="center"/>
          </w:tcPr>
          <w:p w14:paraId="789144B0" w14:textId="77777777" w:rsidR="0022795A" w:rsidRPr="0022795A" w:rsidRDefault="0022795A" w:rsidP="001E0142">
            <w:pPr>
              <w:rPr>
                <w:sz w:val="20"/>
              </w:rPr>
            </w:pPr>
            <w:r w:rsidRPr="0022795A">
              <w:rPr>
                <w:sz w:val="20"/>
              </w:rPr>
              <w:t>Additional comment</w:t>
            </w:r>
          </w:p>
        </w:tc>
        <w:tc>
          <w:tcPr>
            <w:tcW w:w="6933" w:type="dxa"/>
            <w:shd w:val="clear" w:color="auto" w:fill="auto"/>
            <w:tcMar>
              <w:top w:w="28" w:type="dxa"/>
              <w:left w:w="57" w:type="dxa"/>
              <w:bottom w:w="28" w:type="dxa"/>
              <w:right w:w="57" w:type="dxa"/>
            </w:tcMar>
            <w:vAlign w:val="center"/>
          </w:tcPr>
          <w:p w14:paraId="78050E71" w14:textId="77777777" w:rsidR="0022795A" w:rsidRPr="0022795A" w:rsidRDefault="0022795A" w:rsidP="001E0142">
            <w:pPr>
              <w:rPr>
                <w:sz w:val="20"/>
              </w:rPr>
            </w:pPr>
            <w:r w:rsidRPr="0022795A">
              <w:rPr>
                <w:bCs/>
                <w:sz w:val="20"/>
              </w:rPr>
              <w:t>N/A</w:t>
            </w:r>
          </w:p>
        </w:tc>
      </w:tr>
    </w:tbl>
    <w:p w14:paraId="4FA76165" w14:textId="77777777" w:rsidR="0022795A" w:rsidRDefault="0022795A"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22795A" w:rsidRPr="000C7CA3" w14:paraId="0329BEE9" w14:textId="77777777" w:rsidTr="001E0142">
        <w:trPr>
          <w:cantSplit/>
          <w:jc w:val="center"/>
        </w:trPr>
        <w:tc>
          <w:tcPr>
            <w:tcW w:w="2696" w:type="dxa"/>
            <w:shd w:val="clear" w:color="auto" w:fill="D9D9D9"/>
            <w:tcMar>
              <w:top w:w="28" w:type="dxa"/>
              <w:left w:w="57" w:type="dxa"/>
              <w:bottom w:w="28" w:type="dxa"/>
              <w:right w:w="57" w:type="dxa"/>
            </w:tcMar>
            <w:vAlign w:val="center"/>
          </w:tcPr>
          <w:p w14:paraId="63503ABA" w14:textId="77777777" w:rsidR="0022795A" w:rsidRPr="00A76316" w:rsidRDefault="0022795A" w:rsidP="001E0142">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17E9E603" w14:textId="77777777" w:rsidR="0022795A" w:rsidRPr="0022795A" w:rsidRDefault="0022795A" w:rsidP="001E0142">
            <w:pPr>
              <w:rPr>
                <w:sz w:val="20"/>
              </w:rPr>
            </w:pPr>
            <w:r w:rsidRPr="0022795A">
              <w:rPr>
                <w:b/>
                <w:bCs/>
                <w:sz w:val="20"/>
              </w:rPr>
              <w:t>Bio</w:t>
            </w:r>
          </w:p>
        </w:tc>
      </w:tr>
      <w:tr w:rsidR="0022795A" w:rsidRPr="000C7CA3" w14:paraId="61B55D6A" w14:textId="77777777" w:rsidTr="001E0142">
        <w:trPr>
          <w:cantSplit/>
          <w:jc w:val="center"/>
        </w:trPr>
        <w:tc>
          <w:tcPr>
            <w:tcW w:w="2696" w:type="dxa"/>
            <w:shd w:val="clear" w:color="auto" w:fill="D9D9D9"/>
            <w:tcMar>
              <w:top w:w="28" w:type="dxa"/>
              <w:left w:w="57" w:type="dxa"/>
              <w:bottom w:w="28" w:type="dxa"/>
              <w:right w:w="57" w:type="dxa"/>
            </w:tcMar>
            <w:vAlign w:val="center"/>
          </w:tcPr>
          <w:p w14:paraId="738D9E7F" w14:textId="77777777" w:rsidR="0022795A" w:rsidRPr="00D118BA" w:rsidRDefault="0022795A" w:rsidP="001E0142">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1B0674A3" w14:textId="77777777" w:rsidR="0022795A" w:rsidRPr="0022795A" w:rsidRDefault="0022795A" w:rsidP="001E0142">
            <w:pPr>
              <w:rPr>
                <w:sz w:val="20"/>
              </w:rPr>
            </w:pPr>
            <w:r w:rsidRPr="0022795A">
              <w:rPr>
                <w:sz w:val="20"/>
              </w:rPr>
              <w:t>N/A</w:t>
            </w:r>
          </w:p>
        </w:tc>
      </w:tr>
      <w:tr w:rsidR="0022795A" w:rsidRPr="000C7CA3" w14:paraId="06A43DF9" w14:textId="77777777" w:rsidTr="001E0142">
        <w:trPr>
          <w:cantSplit/>
          <w:jc w:val="center"/>
        </w:trPr>
        <w:tc>
          <w:tcPr>
            <w:tcW w:w="2696" w:type="dxa"/>
            <w:shd w:val="clear" w:color="auto" w:fill="D9D9D9"/>
            <w:tcMar>
              <w:top w:w="28" w:type="dxa"/>
              <w:left w:w="57" w:type="dxa"/>
              <w:bottom w:w="28" w:type="dxa"/>
              <w:right w:w="57" w:type="dxa"/>
            </w:tcMar>
            <w:vAlign w:val="center"/>
          </w:tcPr>
          <w:p w14:paraId="05CDA14D" w14:textId="77777777" w:rsidR="0022795A" w:rsidRPr="00D118BA" w:rsidRDefault="0022795A" w:rsidP="001E0142">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3CB1A8C4" w14:textId="77777777" w:rsidR="0022795A" w:rsidRPr="0022795A" w:rsidRDefault="0022795A" w:rsidP="001E0142">
            <w:pPr>
              <w:rPr>
                <w:sz w:val="20"/>
              </w:rPr>
            </w:pPr>
            <w:r w:rsidRPr="0022795A">
              <w:rPr>
                <w:bCs/>
                <w:sz w:val="20"/>
              </w:rPr>
              <w:t>Use of bio-slurry</w:t>
            </w:r>
          </w:p>
        </w:tc>
      </w:tr>
      <w:tr w:rsidR="0022795A" w:rsidRPr="000C7CA3" w14:paraId="630B4080" w14:textId="77777777" w:rsidTr="001E0142">
        <w:trPr>
          <w:cantSplit/>
          <w:jc w:val="center"/>
        </w:trPr>
        <w:tc>
          <w:tcPr>
            <w:tcW w:w="2696" w:type="dxa"/>
            <w:shd w:val="clear" w:color="auto" w:fill="D9D9D9"/>
            <w:tcMar>
              <w:top w:w="28" w:type="dxa"/>
              <w:left w:w="57" w:type="dxa"/>
              <w:bottom w:w="28" w:type="dxa"/>
              <w:right w:w="57" w:type="dxa"/>
            </w:tcMar>
            <w:vAlign w:val="center"/>
          </w:tcPr>
          <w:p w14:paraId="65EA39F8" w14:textId="77777777" w:rsidR="0022795A" w:rsidRPr="00D118BA" w:rsidRDefault="0022795A" w:rsidP="001E0142">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65BEC7FE" w14:textId="77777777" w:rsidR="0022795A" w:rsidRPr="0022795A" w:rsidRDefault="00AE3CBD" w:rsidP="001E0142">
            <w:pPr>
              <w:rPr>
                <w:sz w:val="20"/>
              </w:rPr>
            </w:pPr>
            <w:r>
              <w:rPr>
                <w:bCs/>
                <w:sz w:val="20"/>
              </w:rPr>
              <w:t>Monitoring</w:t>
            </w:r>
            <w:r w:rsidR="0022795A" w:rsidRPr="0022795A">
              <w:rPr>
                <w:bCs/>
                <w:sz w:val="20"/>
              </w:rPr>
              <w:t xml:space="preserve"> Survey</w:t>
            </w:r>
          </w:p>
        </w:tc>
      </w:tr>
      <w:tr w:rsidR="0022795A" w:rsidRPr="000C7CA3" w14:paraId="1F1A8BFD" w14:textId="77777777" w:rsidTr="001E0142">
        <w:trPr>
          <w:cantSplit/>
          <w:jc w:val="center"/>
        </w:trPr>
        <w:tc>
          <w:tcPr>
            <w:tcW w:w="2696" w:type="dxa"/>
            <w:shd w:val="clear" w:color="auto" w:fill="D9D9D9"/>
            <w:tcMar>
              <w:top w:w="28" w:type="dxa"/>
              <w:left w:w="57" w:type="dxa"/>
              <w:bottom w:w="28" w:type="dxa"/>
              <w:right w:w="57" w:type="dxa"/>
            </w:tcMar>
            <w:vAlign w:val="center"/>
          </w:tcPr>
          <w:p w14:paraId="41B6578D" w14:textId="77777777" w:rsidR="0022795A" w:rsidRPr="00D118BA" w:rsidRDefault="0022795A" w:rsidP="001E0142">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0B498907" w14:textId="77777777" w:rsidR="0022795A" w:rsidRPr="0022795A" w:rsidRDefault="0022795A" w:rsidP="001E0142">
            <w:pPr>
              <w:rPr>
                <w:sz w:val="20"/>
              </w:rPr>
            </w:pPr>
            <w:r w:rsidRPr="0022795A">
              <w:rPr>
                <w:bCs/>
                <w:sz w:val="20"/>
              </w:rPr>
              <w:t>Not applicable, no effect on emission reductions</w:t>
            </w:r>
          </w:p>
        </w:tc>
      </w:tr>
      <w:tr w:rsidR="0022795A" w:rsidRPr="000C7CA3" w14:paraId="3B75DF8E" w14:textId="77777777" w:rsidTr="001E0142">
        <w:trPr>
          <w:cantSplit/>
          <w:jc w:val="center"/>
        </w:trPr>
        <w:tc>
          <w:tcPr>
            <w:tcW w:w="2696" w:type="dxa"/>
            <w:shd w:val="clear" w:color="auto" w:fill="D9D9D9"/>
            <w:tcMar>
              <w:top w:w="28" w:type="dxa"/>
              <w:left w:w="57" w:type="dxa"/>
              <w:bottom w:w="28" w:type="dxa"/>
              <w:right w:w="57" w:type="dxa"/>
            </w:tcMar>
            <w:vAlign w:val="center"/>
          </w:tcPr>
          <w:p w14:paraId="58793676" w14:textId="77777777" w:rsidR="0022795A" w:rsidRPr="00D118BA" w:rsidRDefault="0022795A" w:rsidP="001E0142">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3D2B26A2" w14:textId="77777777" w:rsidR="0022795A" w:rsidRPr="0022795A" w:rsidRDefault="0022795A" w:rsidP="001E0142">
            <w:pPr>
              <w:rPr>
                <w:sz w:val="20"/>
              </w:rPr>
            </w:pPr>
            <w:r w:rsidRPr="0022795A">
              <w:rPr>
                <w:bCs/>
                <w:sz w:val="20"/>
              </w:rPr>
              <w:t>Households/communities/SMEs will be asked how they use the bio-slurry produced as a bio-product of the anaerobic digestion process.</w:t>
            </w:r>
          </w:p>
        </w:tc>
      </w:tr>
      <w:tr w:rsidR="0022795A" w:rsidRPr="000C7CA3" w14:paraId="0FA0E41A" w14:textId="77777777" w:rsidTr="001E0142">
        <w:trPr>
          <w:cantSplit/>
          <w:jc w:val="center"/>
        </w:trPr>
        <w:tc>
          <w:tcPr>
            <w:tcW w:w="2696" w:type="dxa"/>
            <w:shd w:val="clear" w:color="auto" w:fill="D9D9D9"/>
            <w:tcMar>
              <w:top w:w="28" w:type="dxa"/>
              <w:left w:w="57" w:type="dxa"/>
              <w:bottom w:w="28" w:type="dxa"/>
              <w:right w:w="57" w:type="dxa"/>
            </w:tcMar>
            <w:vAlign w:val="center"/>
          </w:tcPr>
          <w:p w14:paraId="340E2819" w14:textId="77777777" w:rsidR="0022795A" w:rsidRPr="00D118BA" w:rsidRDefault="0022795A" w:rsidP="001E0142">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1E2514EF" w14:textId="77777777" w:rsidR="0022795A" w:rsidRPr="0022795A" w:rsidRDefault="0022795A" w:rsidP="001E0142">
            <w:pPr>
              <w:rPr>
                <w:sz w:val="20"/>
              </w:rPr>
            </w:pPr>
            <w:r w:rsidRPr="0022795A">
              <w:rPr>
                <w:bCs/>
                <w:sz w:val="20"/>
              </w:rPr>
              <w:t>Annual</w:t>
            </w:r>
          </w:p>
        </w:tc>
      </w:tr>
      <w:tr w:rsidR="0022795A" w:rsidRPr="000C7CA3" w14:paraId="3BDC8855" w14:textId="77777777" w:rsidTr="001E0142">
        <w:trPr>
          <w:cantSplit/>
          <w:jc w:val="center"/>
        </w:trPr>
        <w:tc>
          <w:tcPr>
            <w:tcW w:w="2696" w:type="dxa"/>
            <w:shd w:val="clear" w:color="auto" w:fill="D9D9D9"/>
            <w:tcMar>
              <w:top w:w="28" w:type="dxa"/>
              <w:left w:w="57" w:type="dxa"/>
              <w:bottom w:w="28" w:type="dxa"/>
              <w:right w:w="57" w:type="dxa"/>
            </w:tcMar>
            <w:vAlign w:val="center"/>
          </w:tcPr>
          <w:p w14:paraId="2A5B73AB" w14:textId="77777777" w:rsidR="0022795A" w:rsidRPr="00D118BA" w:rsidRDefault="0022795A" w:rsidP="001E0142">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11711FC5" w14:textId="77777777" w:rsidR="0022795A" w:rsidRPr="0022795A" w:rsidRDefault="0022795A" w:rsidP="001E0142">
            <w:pPr>
              <w:rPr>
                <w:sz w:val="20"/>
              </w:rPr>
            </w:pPr>
            <w:r w:rsidRPr="0022795A">
              <w:rPr>
                <w:bCs/>
                <w:sz w:val="20"/>
              </w:rPr>
              <w:t>Sampling in accordance with the procedures in the methodology applied shall be carried out.</w:t>
            </w:r>
          </w:p>
        </w:tc>
      </w:tr>
      <w:tr w:rsidR="0022795A" w:rsidRPr="000C7CA3" w14:paraId="0327F933" w14:textId="77777777" w:rsidTr="001E0142">
        <w:trPr>
          <w:cantSplit/>
          <w:jc w:val="center"/>
        </w:trPr>
        <w:tc>
          <w:tcPr>
            <w:tcW w:w="2696" w:type="dxa"/>
            <w:shd w:val="clear" w:color="auto" w:fill="D9D9D9"/>
            <w:tcMar>
              <w:top w:w="28" w:type="dxa"/>
              <w:left w:w="57" w:type="dxa"/>
              <w:bottom w:w="28" w:type="dxa"/>
              <w:right w:w="57" w:type="dxa"/>
            </w:tcMar>
            <w:vAlign w:val="center"/>
          </w:tcPr>
          <w:p w14:paraId="1666EE76" w14:textId="77777777" w:rsidR="0022795A" w:rsidRPr="00D118BA" w:rsidRDefault="0022795A" w:rsidP="001E0142">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05D6E695" w14:textId="77777777" w:rsidR="0022795A" w:rsidRPr="0022795A" w:rsidRDefault="0022795A" w:rsidP="0022795A">
            <w:pPr>
              <w:pStyle w:val="SDMTableBoxParaNotNumbered"/>
              <w:jc w:val="both"/>
            </w:pPr>
            <w:r w:rsidRPr="0022795A">
              <w:rPr>
                <w:bCs/>
              </w:rPr>
              <w:t>Calculation of project emissions</w:t>
            </w:r>
          </w:p>
          <w:p w14:paraId="2058A112" w14:textId="77777777" w:rsidR="0022795A" w:rsidRPr="0022795A" w:rsidRDefault="0022795A" w:rsidP="001E0142">
            <w:pPr>
              <w:rPr>
                <w:sz w:val="20"/>
              </w:rPr>
            </w:pPr>
          </w:p>
        </w:tc>
      </w:tr>
      <w:tr w:rsidR="0022795A" w:rsidRPr="000C7CA3" w14:paraId="2BD89DB4" w14:textId="77777777" w:rsidTr="001E0142">
        <w:trPr>
          <w:cantSplit/>
          <w:jc w:val="center"/>
        </w:trPr>
        <w:tc>
          <w:tcPr>
            <w:tcW w:w="2696" w:type="dxa"/>
            <w:shd w:val="clear" w:color="auto" w:fill="D9D9D9"/>
            <w:tcMar>
              <w:top w:w="28" w:type="dxa"/>
              <w:left w:w="57" w:type="dxa"/>
              <w:bottom w:w="28" w:type="dxa"/>
              <w:right w:w="57" w:type="dxa"/>
            </w:tcMar>
            <w:vAlign w:val="center"/>
          </w:tcPr>
          <w:p w14:paraId="2F8FBBD9" w14:textId="77777777" w:rsidR="0022795A" w:rsidRPr="00D118BA" w:rsidRDefault="0022795A" w:rsidP="001E0142">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38262EA7" w14:textId="77777777" w:rsidR="0022795A" w:rsidRPr="0022795A" w:rsidRDefault="0022795A" w:rsidP="001E0142">
            <w:pPr>
              <w:rPr>
                <w:sz w:val="20"/>
              </w:rPr>
            </w:pPr>
            <w:r w:rsidRPr="0022795A">
              <w:rPr>
                <w:bCs/>
                <w:sz w:val="20"/>
              </w:rPr>
              <w:t xml:space="preserve">To be used for the calculation of project emissions associated with bio-slurry usage – the </w:t>
            </w:r>
            <w:r w:rsidRPr="0022795A">
              <w:rPr>
                <w:bCs/>
                <w:sz w:val="20"/>
                <w:lang w:val="en-US"/>
              </w:rPr>
              <w:t>CH</w:t>
            </w:r>
            <w:r w:rsidRPr="0022795A">
              <w:rPr>
                <w:bCs/>
                <w:sz w:val="20"/>
                <w:vertAlign w:val="subscript"/>
                <w:lang w:val="en-US"/>
              </w:rPr>
              <w:t>4</w:t>
            </w:r>
            <w:r w:rsidRPr="0022795A">
              <w:rPr>
                <w:bCs/>
                <w:sz w:val="20"/>
                <w:lang w:val="en-US"/>
              </w:rPr>
              <w:t xml:space="preserve"> emissions from the anaerobic decay of the residual organic content of digestate subjected to anaerobic storage.</w:t>
            </w:r>
          </w:p>
        </w:tc>
      </w:tr>
    </w:tbl>
    <w:p w14:paraId="3026BE7C" w14:textId="77777777" w:rsidR="0022795A" w:rsidRPr="0022795A" w:rsidRDefault="0022795A" w:rsidP="0022795A">
      <w:pPr>
        <w:pStyle w:val="SDMPDDPoASubSection2"/>
        <w:rPr>
          <w:b w:val="0"/>
          <w:bCs/>
        </w:rPr>
      </w:pPr>
      <w:r>
        <w:rPr>
          <w:b w:val="0"/>
          <w:bCs/>
        </w:rPr>
        <w:t>The VPA will also monitor the following social and environmental parameters, as defined under the Gold Standard</w:t>
      </w:r>
      <w:r>
        <w:rPr>
          <w:b w:val="0"/>
          <w:bCs/>
          <w:vertAlign w:val="superscript"/>
        </w:rPr>
        <w:footnoteReference w:id="32"/>
      </w:r>
      <w:r>
        <w:rPr>
          <w:b w:val="0"/>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22795A" w:rsidRPr="000C7CA3" w14:paraId="4E464041" w14:textId="77777777" w:rsidTr="001E0142">
        <w:trPr>
          <w:cantSplit/>
          <w:jc w:val="center"/>
        </w:trPr>
        <w:tc>
          <w:tcPr>
            <w:tcW w:w="2696" w:type="dxa"/>
            <w:shd w:val="clear" w:color="auto" w:fill="D9D9D9"/>
            <w:tcMar>
              <w:top w:w="28" w:type="dxa"/>
              <w:left w:w="57" w:type="dxa"/>
              <w:bottom w:w="28" w:type="dxa"/>
              <w:right w:w="57" w:type="dxa"/>
            </w:tcMar>
            <w:vAlign w:val="center"/>
          </w:tcPr>
          <w:p w14:paraId="59666872" w14:textId="77777777" w:rsidR="0022795A" w:rsidRPr="00A76316" w:rsidRDefault="0022795A" w:rsidP="001E0142">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48C1CF9B" w14:textId="77777777" w:rsidR="0022795A" w:rsidRPr="0022795A" w:rsidRDefault="0022795A" w:rsidP="001E0142">
            <w:pPr>
              <w:rPr>
                <w:sz w:val="20"/>
              </w:rPr>
            </w:pPr>
            <w:r w:rsidRPr="0022795A">
              <w:rPr>
                <w:b/>
                <w:bCs/>
                <w:sz w:val="20"/>
              </w:rPr>
              <w:t>GS-01 Air quality</w:t>
            </w:r>
          </w:p>
        </w:tc>
      </w:tr>
      <w:tr w:rsidR="0022795A" w:rsidRPr="000C7CA3" w14:paraId="02077CC4" w14:textId="77777777" w:rsidTr="001E0142">
        <w:trPr>
          <w:cantSplit/>
          <w:jc w:val="center"/>
        </w:trPr>
        <w:tc>
          <w:tcPr>
            <w:tcW w:w="2696" w:type="dxa"/>
            <w:shd w:val="clear" w:color="auto" w:fill="D9D9D9"/>
            <w:tcMar>
              <w:top w:w="28" w:type="dxa"/>
              <w:left w:w="57" w:type="dxa"/>
              <w:bottom w:w="28" w:type="dxa"/>
              <w:right w:w="57" w:type="dxa"/>
            </w:tcMar>
            <w:vAlign w:val="center"/>
          </w:tcPr>
          <w:p w14:paraId="781BDA5F" w14:textId="77777777" w:rsidR="0022795A" w:rsidRPr="00D118BA" w:rsidRDefault="0022795A" w:rsidP="001E0142">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5F9569C4" w14:textId="77777777" w:rsidR="0022795A" w:rsidRPr="0022795A" w:rsidRDefault="0022795A" w:rsidP="001E0142">
            <w:pPr>
              <w:rPr>
                <w:sz w:val="20"/>
              </w:rPr>
            </w:pPr>
            <w:r w:rsidRPr="0022795A">
              <w:rPr>
                <w:bCs/>
                <w:sz w:val="20"/>
              </w:rPr>
              <w:t>Percentage</w:t>
            </w:r>
          </w:p>
        </w:tc>
      </w:tr>
      <w:tr w:rsidR="0022795A" w:rsidRPr="000C7CA3" w14:paraId="711433F3" w14:textId="77777777" w:rsidTr="001E0142">
        <w:trPr>
          <w:cantSplit/>
          <w:jc w:val="center"/>
        </w:trPr>
        <w:tc>
          <w:tcPr>
            <w:tcW w:w="2696" w:type="dxa"/>
            <w:shd w:val="clear" w:color="auto" w:fill="D9D9D9"/>
            <w:tcMar>
              <w:top w:w="28" w:type="dxa"/>
              <w:left w:w="57" w:type="dxa"/>
              <w:bottom w:w="28" w:type="dxa"/>
              <w:right w:w="57" w:type="dxa"/>
            </w:tcMar>
            <w:vAlign w:val="center"/>
          </w:tcPr>
          <w:p w14:paraId="744A28A4" w14:textId="77777777" w:rsidR="0022795A" w:rsidRPr="00D118BA" w:rsidRDefault="0022795A" w:rsidP="001E0142">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5C0619AF" w14:textId="77777777" w:rsidR="0022795A" w:rsidRPr="0022795A" w:rsidRDefault="0022795A" w:rsidP="001E0142">
            <w:pPr>
              <w:rPr>
                <w:sz w:val="20"/>
              </w:rPr>
            </w:pPr>
            <w:r w:rsidRPr="0022795A">
              <w:rPr>
                <w:bCs/>
                <w:sz w:val="20"/>
                <w:lang w:val="en-US"/>
              </w:rPr>
              <w:t>Perceived improvement in health by the user.</w:t>
            </w:r>
            <w:r w:rsidRPr="0022795A">
              <w:rPr>
                <w:bCs/>
                <w:sz w:val="20"/>
              </w:rPr>
              <w:t xml:space="preserve"> (incidence of eye problems and respiratory illness)</w:t>
            </w:r>
          </w:p>
        </w:tc>
      </w:tr>
      <w:tr w:rsidR="0022795A" w:rsidRPr="000C7CA3" w14:paraId="0E6B14E6" w14:textId="77777777" w:rsidTr="001E0142">
        <w:trPr>
          <w:cantSplit/>
          <w:jc w:val="center"/>
        </w:trPr>
        <w:tc>
          <w:tcPr>
            <w:tcW w:w="2696" w:type="dxa"/>
            <w:shd w:val="clear" w:color="auto" w:fill="D9D9D9"/>
            <w:tcMar>
              <w:top w:w="28" w:type="dxa"/>
              <w:left w:w="57" w:type="dxa"/>
              <w:bottom w:w="28" w:type="dxa"/>
              <w:right w:w="57" w:type="dxa"/>
            </w:tcMar>
            <w:vAlign w:val="center"/>
          </w:tcPr>
          <w:p w14:paraId="2F19E844" w14:textId="77777777" w:rsidR="0022795A" w:rsidRPr="00D118BA" w:rsidRDefault="0022795A" w:rsidP="001E0142">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0FF03D44" w14:textId="77777777" w:rsidR="0022795A" w:rsidRPr="0022795A" w:rsidRDefault="0022795A" w:rsidP="001E0142">
            <w:pPr>
              <w:rPr>
                <w:sz w:val="20"/>
              </w:rPr>
            </w:pPr>
            <w:r w:rsidRPr="0022795A">
              <w:rPr>
                <w:bCs/>
                <w:sz w:val="20"/>
              </w:rPr>
              <w:t>Annual monitoring surveys</w:t>
            </w:r>
          </w:p>
        </w:tc>
      </w:tr>
      <w:tr w:rsidR="0022795A" w:rsidRPr="000C7CA3" w14:paraId="192EB263" w14:textId="77777777" w:rsidTr="001E0142">
        <w:trPr>
          <w:cantSplit/>
          <w:jc w:val="center"/>
        </w:trPr>
        <w:tc>
          <w:tcPr>
            <w:tcW w:w="2696" w:type="dxa"/>
            <w:shd w:val="clear" w:color="auto" w:fill="D9D9D9"/>
            <w:tcMar>
              <w:top w:w="28" w:type="dxa"/>
              <w:left w:w="57" w:type="dxa"/>
              <w:bottom w:w="28" w:type="dxa"/>
              <w:right w:w="57" w:type="dxa"/>
            </w:tcMar>
            <w:vAlign w:val="center"/>
          </w:tcPr>
          <w:p w14:paraId="3D0D8210" w14:textId="77777777" w:rsidR="0022795A" w:rsidRPr="00D118BA" w:rsidRDefault="0022795A" w:rsidP="001E0142">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4A4376BB" w14:textId="77777777" w:rsidR="0022795A" w:rsidRPr="0022795A" w:rsidRDefault="0022795A" w:rsidP="001E0142">
            <w:pPr>
              <w:rPr>
                <w:sz w:val="20"/>
              </w:rPr>
            </w:pPr>
            <w:r w:rsidRPr="0022795A">
              <w:rPr>
                <w:bCs/>
                <w:sz w:val="20"/>
              </w:rPr>
              <w:t>Not applicable, no effect on emission reductions</w:t>
            </w:r>
          </w:p>
        </w:tc>
      </w:tr>
      <w:tr w:rsidR="0022795A" w:rsidRPr="000C7CA3" w14:paraId="153C01A6" w14:textId="77777777" w:rsidTr="001E0142">
        <w:trPr>
          <w:cantSplit/>
          <w:jc w:val="center"/>
        </w:trPr>
        <w:tc>
          <w:tcPr>
            <w:tcW w:w="2696" w:type="dxa"/>
            <w:shd w:val="clear" w:color="auto" w:fill="D9D9D9"/>
            <w:tcMar>
              <w:top w:w="28" w:type="dxa"/>
              <w:left w:w="57" w:type="dxa"/>
              <w:bottom w:w="28" w:type="dxa"/>
              <w:right w:w="57" w:type="dxa"/>
            </w:tcMar>
            <w:vAlign w:val="center"/>
          </w:tcPr>
          <w:p w14:paraId="2F7E3A43" w14:textId="77777777" w:rsidR="0022795A" w:rsidRPr="00D118BA" w:rsidRDefault="0022795A" w:rsidP="001E0142">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188DDBF5" w14:textId="77777777" w:rsidR="0022795A" w:rsidRPr="0022795A" w:rsidRDefault="0022795A" w:rsidP="001E0142">
            <w:pPr>
              <w:rPr>
                <w:sz w:val="20"/>
              </w:rPr>
            </w:pPr>
            <w:r w:rsidRPr="0022795A">
              <w:rPr>
                <w:bCs/>
                <w:sz w:val="20"/>
                <w:lang w:val="en-US"/>
              </w:rPr>
              <w:t>Users of the biogas digesters will be asked if they feel the incidence of eye problems and respiratory illness have a) increased, b) stayed the same or c) decreased as a result of getting a biogas digester.</w:t>
            </w:r>
          </w:p>
        </w:tc>
      </w:tr>
      <w:tr w:rsidR="0022795A" w:rsidRPr="000C7CA3" w14:paraId="6720591A" w14:textId="77777777" w:rsidTr="001E0142">
        <w:trPr>
          <w:cantSplit/>
          <w:jc w:val="center"/>
        </w:trPr>
        <w:tc>
          <w:tcPr>
            <w:tcW w:w="2696" w:type="dxa"/>
            <w:shd w:val="clear" w:color="auto" w:fill="D9D9D9"/>
            <w:tcMar>
              <w:top w:w="28" w:type="dxa"/>
              <w:left w:w="57" w:type="dxa"/>
              <w:bottom w:w="28" w:type="dxa"/>
              <w:right w:w="57" w:type="dxa"/>
            </w:tcMar>
            <w:vAlign w:val="center"/>
          </w:tcPr>
          <w:p w14:paraId="3A180742" w14:textId="77777777" w:rsidR="0022795A" w:rsidRPr="00D118BA" w:rsidRDefault="0022795A" w:rsidP="001E0142">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46DB5388" w14:textId="77777777" w:rsidR="0022795A" w:rsidRPr="0022795A" w:rsidRDefault="0022795A" w:rsidP="001E0142">
            <w:pPr>
              <w:rPr>
                <w:sz w:val="20"/>
              </w:rPr>
            </w:pPr>
            <w:r w:rsidRPr="0022795A">
              <w:rPr>
                <w:bCs/>
                <w:sz w:val="20"/>
              </w:rPr>
              <w:t>Annual</w:t>
            </w:r>
          </w:p>
        </w:tc>
      </w:tr>
      <w:tr w:rsidR="0022795A" w:rsidRPr="000C7CA3" w14:paraId="021F2619" w14:textId="77777777" w:rsidTr="001E0142">
        <w:trPr>
          <w:cantSplit/>
          <w:jc w:val="center"/>
        </w:trPr>
        <w:tc>
          <w:tcPr>
            <w:tcW w:w="2696" w:type="dxa"/>
            <w:shd w:val="clear" w:color="auto" w:fill="D9D9D9"/>
            <w:tcMar>
              <w:top w:w="28" w:type="dxa"/>
              <w:left w:w="57" w:type="dxa"/>
              <w:bottom w:w="28" w:type="dxa"/>
              <w:right w:w="57" w:type="dxa"/>
            </w:tcMar>
            <w:vAlign w:val="center"/>
          </w:tcPr>
          <w:p w14:paraId="5F072C56" w14:textId="77777777" w:rsidR="0022795A" w:rsidRPr="00D118BA" w:rsidRDefault="0022795A" w:rsidP="001E0142">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313CBCAE" w14:textId="77777777" w:rsidR="0022795A" w:rsidRPr="0022795A" w:rsidRDefault="0022795A" w:rsidP="001E0142">
            <w:pPr>
              <w:rPr>
                <w:sz w:val="20"/>
              </w:rPr>
            </w:pPr>
            <w:r w:rsidRPr="0022795A">
              <w:rPr>
                <w:bCs/>
                <w:sz w:val="20"/>
              </w:rPr>
              <w:t>Not applicable</w:t>
            </w:r>
          </w:p>
        </w:tc>
      </w:tr>
      <w:tr w:rsidR="0022795A" w:rsidRPr="000C7CA3" w14:paraId="24A7548E" w14:textId="77777777" w:rsidTr="001E0142">
        <w:trPr>
          <w:cantSplit/>
          <w:jc w:val="center"/>
        </w:trPr>
        <w:tc>
          <w:tcPr>
            <w:tcW w:w="2696" w:type="dxa"/>
            <w:shd w:val="clear" w:color="auto" w:fill="D9D9D9"/>
            <w:tcMar>
              <w:top w:w="28" w:type="dxa"/>
              <w:left w:w="57" w:type="dxa"/>
              <w:bottom w:w="28" w:type="dxa"/>
              <w:right w:w="57" w:type="dxa"/>
            </w:tcMar>
            <w:vAlign w:val="center"/>
          </w:tcPr>
          <w:p w14:paraId="00053A1E" w14:textId="77777777" w:rsidR="0022795A" w:rsidRPr="00D118BA" w:rsidRDefault="0022795A" w:rsidP="001E0142">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63934ABE" w14:textId="77777777" w:rsidR="0022795A" w:rsidRPr="0022795A" w:rsidRDefault="0022795A" w:rsidP="001E0142">
            <w:pPr>
              <w:rPr>
                <w:sz w:val="20"/>
              </w:rPr>
            </w:pPr>
            <w:r w:rsidRPr="0022795A">
              <w:rPr>
                <w:bCs/>
                <w:sz w:val="20"/>
              </w:rPr>
              <w:t>Monitoring of sustainable development benefits</w:t>
            </w:r>
          </w:p>
        </w:tc>
      </w:tr>
      <w:tr w:rsidR="0022795A" w:rsidRPr="000C7CA3" w14:paraId="058D022A" w14:textId="77777777" w:rsidTr="001E0142">
        <w:trPr>
          <w:cantSplit/>
          <w:jc w:val="center"/>
        </w:trPr>
        <w:tc>
          <w:tcPr>
            <w:tcW w:w="2696" w:type="dxa"/>
            <w:shd w:val="clear" w:color="auto" w:fill="D9D9D9"/>
            <w:tcMar>
              <w:top w:w="28" w:type="dxa"/>
              <w:left w:w="57" w:type="dxa"/>
              <w:bottom w:w="28" w:type="dxa"/>
              <w:right w:w="57" w:type="dxa"/>
            </w:tcMar>
            <w:vAlign w:val="center"/>
          </w:tcPr>
          <w:p w14:paraId="4263861B" w14:textId="77777777" w:rsidR="0022795A" w:rsidRPr="00D118BA" w:rsidRDefault="0022795A" w:rsidP="001E0142">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7F1C8E53" w14:textId="77777777" w:rsidR="0022795A" w:rsidRPr="0022795A" w:rsidRDefault="0022795A" w:rsidP="001E0142">
            <w:pPr>
              <w:rPr>
                <w:sz w:val="20"/>
              </w:rPr>
            </w:pPr>
            <w:r w:rsidRPr="0022795A">
              <w:rPr>
                <w:sz w:val="20"/>
              </w:rPr>
              <w:t>N/A</w:t>
            </w:r>
          </w:p>
        </w:tc>
      </w:tr>
    </w:tbl>
    <w:p w14:paraId="0D98AA0D" w14:textId="77777777" w:rsidR="0022795A" w:rsidRDefault="0022795A"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22795A" w:rsidRPr="000C7CA3" w14:paraId="77024F87" w14:textId="77777777" w:rsidTr="001E0142">
        <w:trPr>
          <w:cantSplit/>
          <w:jc w:val="center"/>
        </w:trPr>
        <w:tc>
          <w:tcPr>
            <w:tcW w:w="2696" w:type="dxa"/>
            <w:shd w:val="clear" w:color="auto" w:fill="D9D9D9"/>
            <w:tcMar>
              <w:top w:w="28" w:type="dxa"/>
              <w:left w:w="57" w:type="dxa"/>
              <w:bottom w:w="28" w:type="dxa"/>
              <w:right w:w="57" w:type="dxa"/>
            </w:tcMar>
            <w:vAlign w:val="center"/>
          </w:tcPr>
          <w:p w14:paraId="34C06F51" w14:textId="77777777" w:rsidR="0022795A" w:rsidRPr="00A76316" w:rsidRDefault="0022795A" w:rsidP="001E0142">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557B51EA" w14:textId="77777777" w:rsidR="0022795A" w:rsidRPr="0022795A" w:rsidRDefault="0022795A" w:rsidP="001E0142">
            <w:pPr>
              <w:rPr>
                <w:sz w:val="20"/>
              </w:rPr>
            </w:pPr>
            <w:r w:rsidRPr="0022795A">
              <w:rPr>
                <w:b/>
                <w:bCs/>
                <w:sz w:val="20"/>
              </w:rPr>
              <w:t>GS-0</w:t>
            </w:r>
            <w:r w:rsidR="00AE3CBD">
              <w:rPr>
                <w:b/>
                <w:bCs/>
                <w:sz w:val="20"/>
              </w:rPr>
              <w:t>2</w:t>
            </w:r>
            <w:r w:rsidRPr="0022795A">
              <w:rPr>
                <w:b/>
                <w:bCs/>
                <w:sz w:val="20"/>
              </w:rPr>
              <w:t xml:space="preserve"> Soil condition</w:t>
            </w:r>
          </w:p>
        </w:tc>
      </w:tr>
      <w:tr w:rsidR="0022795A" w:rsidRPr="000C7CA3" w14:paraId="23A19434" w14:textId="77777777" w:rsidTr="001E0142">
        <w:trPr>
          <w:cantSplit/>
          <w:jc w:val="center"/>
        </w:trPr>
        <w:tc>
          <w:tcPr>
            <w:tcW w:w="2696" w:type="dxa"/>
            <w:shd w:val="clear" w:color="auto" w:fill="D9D9D9"/>
            <w:tcMar>
              <w:top w:w="28" w:type="dxa"/>
              <w:left w:w="57" w:type="dxa"/>
              <w:bottom w:w="28" w:type="dxa"/>
              <w:right w:w="57" w:type="dxa"/>
            </w:tcMar>
            <w:vAlign w:val="center"/>
          </w:tcPr>
          <w:p w14:paraId="2EB1DFDC" w14:textId="77777777" w:rsidR="0022795A" w:rsidRPr="00D118BA" w:rsidRDefault="0022795A" w:rsidP="001E0142">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78E5D176" w14:textId="77777777" w:rsidR="0022795A" w:rsidRPr="0022795A" w:rsidRDefault="0022795A" w:rsidP="001E0142">
            <w:pPr>
              <w:rPr>
                <w:sz w:val="20"/>
              </w:rPr>
            </w:pPr>
            <w:r w:rsidRPr="0022795A">
              <w:rPr>
                <w:bCs/>
                <w:sz w:val="20"/>
              </w:rPr>
              <w:t>%</w:t>
            </w:r>
          </w:p>
        </w:tc>
      </w:tr>
      <w:tr w:rsidR="0022795A" w:rsidRPr="000C7CA3" w14:paraId="47594671" w14:textId="77777777" w:rsidTr="001E0142">
        <w:trPr>
          <w:cantSplit/>
          <w:jc w:val="center"/>
        </w:trPr>
        <w:tc>
          <w:tcPr>
            <w:tcW w:w="2696" w:type="dxa"/>
            <w:shd w:val="clear" w:color="auto" w:fill="D9D9D9"/>
            <w:tcMar>
              <w:top w:w="28" w:type="dxa"/>
              <w:left w:w="57" w:type="dxa"/>
              <w:bottom w:w="28" w:type="dxa"/>
              <w:right w:w="57" w:type="dxa"/>
            </w:tcMar>
            <w:vAlign w:val="center"/>
          </w:tcPr>
          <w:p w14:paraId="08BF5DF2" w14:textId="77777777" w:rsidR="0022795A" w:rsidRPr="00D118BA" w:rsidRDefault="0022795A" w:rsidP="001E0142">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3083B23B" w14:textId="77777777" w:rsidR="0022795A" w:rsidRPr="0022795A" w:rsidRDefault="0022795A" w:rsidP="001E0142">
            <w:pPr>
              <w:rPr>
                <w:sz w:val="20"/>
              </w:rPr>
            </w:pPr>
            <w:r w:rsidRPr="0022795A">
              <w:rPr>
                <w:bCs/>
                <w:sz w:val="20"/>
              </w:rPr>
              <w:t>Percentage of biogas users who use slurry as a fertilizer</w:t>
            </w:r>
          </w:p>
        </w:tc>
      </w:tr>
      <w:tr w:rsidR="0022795A" w:rsidRPr="000C7CA3" w14:paraId="780D9B98" w14:textId="77777777" w:rsidTr="001E0142">
        <w:trPr>
          <w:cantSplit/>
          <w:jc w:val="center"/>
        </w:trPr>
        <w:tc>
          <w:tcPr>
            <w:tcW w:w="2696" w:type="dxa"/>
            <w:shd w:val="clear" w:color="auto" w:fill="D9D9D9"/>
            <w:tcMar>
              <w:top w:w="28" w:type="dxa"/>
              <w:left w:w="57" w:type="dxa"/>
              <w:bottom w:w="28" w:type="dxa"/>
              <w:right w:w="57" w:type="dxa"/>
            </w:tcMar>
            <w:vAlign w:val="center"/>
          </w:tcPr>
          <w:p w14:paraId="46F0420E" w14:textId="77777777" w:rsidR="0022795A" w:rsidRPr="00D118BA" w:rsidRDefault="0022795A" w:rsidP="001E0142">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0A22E73C" w14:textId="77777777" w:rsidR="0022795A" w:rsidRPr="0022795A" w:rsidRDefault="0022795A" w:rsidP="001E0142">
            <w:pPr>
              <w:rPr>
                <w:sz w:val="20"/>
              </w:rPr>
            </w:pPr>
            <w:r w:rsidRPr="0022795A">
              <w:rPr>
                <w:bCs/>
                <w:sz w:val="20"/>
              </w:rPr>
              <w:t>Annual monitoring surveys</w:t>
            </w:r>
          </w:p>
        </w:tc>
      </w:tr>
      <w:tr w:rsidR="0022795A" w:rsidRPr="000C7CA3" w14:paraId="488E0703" w14:textId="77777777" w:rsidTr="001E0142">
        <w:trPr>
          <w:cantSplit/>
          <w:jc w:val="center"/>
        </w:trPr>
        <w:tc>
          <w:tcPr>
            <w:tcW w:w="2696" w:type="dxa"/>
            <w:shd w:val="clear" w:color="auto" w:fill="D9D9D9"/>
            <w:tcMar>
              <w:top w:w="28" w:type="dxa"/>
              <w:left w:w="57" w:type="dxa"/>
              <w:bottom w:w="28" w:type="dxa"/>
              <w:right w:w="57" w:type="dxa"/>
            </w:tcMar>
            <w:vAlign w:val="center"/>
          </w:tcPr>
          <w:p w14:paraId="3D171C44" w14:textId="77777777" w:rsidR="0022795A" w:rsidRPr="00D118BA" w:rsidRDefault="0022795A" w:rsidP="001E0142">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3AA434E5" w14:textId="77777777" w:rsidR="0022795A" w:rsidRPr="0022795A" w:rsidRDefault="0022795A" w:rsidP="001E0142">
            <w:pPr>
              <w:rPr>
                <w:sz w:val="20"/>
              </w:rPr>
            </w:pPr>
            <w:r w:rsidRPr="0022795A">
              <w:rPr>
                <w:bCs/>
                <w:sz w:val="20"/>
              </w:rPr>
              <w:t>Not applicable, no effect on emission reductions</w:t>
            </w:r>
          </w:p>
        </w:tc>
      </w:tr>
      <w:tr w:rsidR="0022795A" w:rsidRPr="000C7CA3" w14:paraId="1F644110" w14:textId="77777777" w:rsidTr="001E0142">
        <w:trPr>
          <w:cantSplit/>
          <w:jc w:val="center"/>
        </w:trPr>
        <w:tc>
          <w:tcPr>
            <w:tcW w:w="2696" w:type="dxa"/>
            <w:shd w:val="clear" w:color="auto" w:fill="D9D9D9"/>
            <w:tcMar>
              <w:top w:w="28" w:type="dxa"/>
              <w:left w:w="57" w:type="dxa"/>
              <w:bottom w:w="28" w:type="dxa"/>
              <w:right w:w="57" w:type="dxa"/>
            </w:tcMar>
            <w:vAlign w:val="center"/>
          </w:tcPr>
          <w:p w14:paraId="0BAFE56B" w14:textId="77777777" w:rsidR="0022795A" w:rsidRPr="00D118BA" w:rsidRDefault="0022795A" w:rsidP="001E0142">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7600FFDA" w14:textId="77777777" w:rsidR="0022795A" w:rsidRPr="0022795A" w:rsidRDefault="0022795A" w:rsidP="001E0142">
            <w:pPr>
              <w:rPr>
                <w:sz w:val="20"/>
              </w:rPr>
            </w:pPr>
            <w:r w:rsidRPr="0022795A">
              <w:rPr>
                <w:bCs/>
                <w:sz w:val="20"/>
                <w:lang w:val="en-US"/>
              </w:rPr>
              <w:t>The occurrence of application of slurry to agricultural land will be monitored through sampling as part of the annual monitoring effort. Stakeholders will be asked how they use the slurry, if at all.</w:t>
            </w:r>
          </w:p>
        </w:tc>
      </w:tr>
      <w:tr w:rsidR="0022795A" w:rsidRPr="000C7CA3" w14:paraId="59AB1964" w14:textId="77777777" w:rsidTr="001E0142">
        <w:trPr>
          <w:cantSplit/>
          <w:jc w:val="center"/>
        </w:trPr>
        <w:tc>
          <w:tcPr>
            <w:tcW w:w="2696" w:type="dxa"/>
            <w:shd w:val="clear" w:color="auto" w:fill="D9D9D9"/>
            <w:tcMar>
              <w:top w:w="28" w:type="dxa"/>
              <w:left w:w="57" w:type="dxa"/>
              <w:bottom w:w="28" w:type="dxa"/>
              <w:right w:w="57" w:type="dxa"/>
            </w:tcMar>
            <w:vAlign w:val="center"/>
          </w:tcPr>
          <w:p w14:paraId="6420C7D2" w14:textId="77777777" w:rsidR="0022795A" w:rsidRPr="00D118BA" w:rsidRDefault="0022795A" w:rsidP="001E0142">
            <w:pPr>
              <w:rPr>
                <w:sz w:val="20"/>
              </w:rPr>
            </w:pPr>
            <w:r w:rsidRPr="00D118BA">
              <w:rPr>
                <w:sz w:val="20"/>
              </w:rPr>
              <w:lastRenderedPageBreak/>
              <w:t>Monitoring frequency</w:t>
            </w:r>
          </w:p>
        </w:tc>
        <w:tc>
          <w:tcPr>
            <w:tcW w:w="6933" w:type="dxa"/>
            <w:shd w:val="clear" w:color="auto" w:fill="auto"/>
            <w:tcMar>
              <w:top w:w="28" w:type="dxa"/>
              <w:left w:w="57" w:type="dxa"/>
              <w:bottom w:w="28" w:type="dxa"/>
              <w:right w:w="57" w:type="dxa"/>
            </w:tcMar>
            <w:vAlign w:val="center"/>
          </w:tcPr>
          <w:p w14:paraId="589EA84B" w14:textId="77777777" w:rsidR="0022795A" w:rsidRPr="0022795A" w:rsidRDefault="0022795A" w:rsidP="001E0142">
            <w:pPr>
              <w:rPr>
                <w:sz w:val="20"/>
              </w:rPr>
            </w:pPr>
            <w:r w:rsidRPr="0022795A">
              <w:rPr>
                <w:bCs/>
                <w:sz w:val="20"/>
              </w:rPr>
              <w:t>Annual</w:t>
            </w:r>
          </w:p>
        </w:tc>
      </w:tr>
      <w:tr w:rsidR="0022795A" w:rsidRPr="000C7CA3" w14:paraId="7348379E" w14:textId="77777777" w:rsidTr="001E0142">
        <w:trPr>
          <w:cantSplit/>
          <w:jc w:val="center"/>
        </w:trPr>
        <w:tc>
          <w:tcPr>
            <w:tcW w:w="2696" w:type="dxa"/>
            <w:shd w:val="clear" w:color="auto" w:fill="D9D9D9"/>
            <w:tcMar>
              <w:top w:w="28" w:type="dxa"/>
              <w:left w:w="57" w:type="dxa"/>
              <w:bottom w:w="28" w:type="dxa"/>
              <w:right w:w="57" w:type="dxa"/>
            </w:tcMar>
            <w:vAlign w:val="center"/>
          </w:tcPr>
          <w:p w14:paraId="13F9EA7F" w14:textId="77777777" w:rsidR="0022795A" w:rsidRPr="00D118BA" w:rsidRDefault="0022795A" w:rsidP="001E0142">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75A5C374" w14:textId="77777777" w:rsidR="0022795A" w:rsidRPr="0022795A" w:rsidRDefault="0022795A" w:rsidP="001E0142">
            <w:pPr>
              <w:rPr>
                <w:sz w:val="20"/>
              </w:rPr>
            </w:pPr>
            <w:r w:rsidRPr="0022795A">
              <w:rPr>
                <w:sz w:val="20"/>
              </w:rPr>
              <w:t>N/A</w:t>
            </w:r>
          </w:p>
        </w:tc>
      </w:tr>
      <w:tr w:rsidR="0022795A" w:rsidRPr="000C7CA3" w14:paraId="1B12C587" w14:textId="77777777" w:rsidTr="001E0142">
        <w:trPr>
          <w:cantSplit/>
          <w:jc w:val="center"/>
        </w:trPr>
        <w:tc>
          <w:tcPr>
            <w:tcW w:w="2696" w:type="dxa"/>
            <w:shd w:val="clear" w:color="auto" w:fill="D9D9D9"/>
            <w:tcMar>
              <w:top w:w="28" w:type="dxa"/>
              <w:left w:w="57" w:type="dxa"/>
              <w:bottom w:w="28" w:type="dxa"/>
              <w:right w:w="57" w:type="dxa"/>
            </w:tcMar>
            <w:vAlign w:val="center"/>
          </w:tcPr>
          <w:p w14:paraId="348A999E" w14:textId="77777777" w:rsidR="0022795A" w:rsidRPr="00D118BA" w:rsidRDefault="0022795A" w:rsidP="001E0142">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4434078F" w14:textId="77777777" w:rsidR="0022795A" w:rsidRPr="0022795A" w:rsidRDefault="0022795A" w:rsidP="001E0142">
            <w:pPr>
              <w:rPr>
                <w:sz w:val="20"/>
              </w:rPr>
            </w:pPr>
            <w:r w:rsidRPr="0022795A">
              <w:rPr>
                <w:bCs/>
                <w:sz w:val="20"/>
              </w:rPr>
              <w:t>Monitoring of sustainable development benefits</w:t>
            </w:r>
          </w:p>
        </w:tc>
      </w:tr>
      <w:tr w:rsidR="0022795A" w:rsidRPr="000C7CA3" w14:paraId="7EF3B5A7" w14:textId="77777777" w:rsidTr="001E0142">
        <w:trPr>
          <w:cantSplit/>
          <w:jc w:val="center"/>
        </w:trPr>
        <w:tc>
          <w:tcPr>
            <w:tcW w:w="2696" w:type="dxa"/>
            <w:shd w:val="clear" w:color="auto" w:fill="D9D9D9"/>
            <w:tcMar>
              <w:top w:w="28" w:type="dxa"/>
              <w:left w:w="57" w:type="dxa"/>
              <w:bottom w:w="28" w:type="dxa"/>
              <w:right w:w="57" w:type="dxa"/>
            </w:tcMar>
            <w:vAlign w:val="center"/>
          </w:tcPr>
          <w:p w14:paraId="3A3097F2" w14:textId="77777777" w:rsidR="0022795A" w:rsidRPr="00D118BA" w:rsidRDefault="0022795A" w:rsidP="001E0142">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7541F8D3" w14:textId="77777777" w:rsidR="0022795A" w:rsidRPr="0022795A" w:rsidRDefault="0022795A" w:rsidP="001E0142">
            <w:pPr>
              <w:rPr>
                <w:sz w:val="20"/>
              </w:rPr>
            </w:pPr>
            <w:r w:rsidRPr="0022795A">
              <w:rPr>
                <w:sz w:val="20"/>
              </w:rPr>
              <w:t>N/A</w:t>
            </w:r>
          </w:p>
        </w:tc>
      </w:tr>
    </w:tbl>
    <w:p w14:paraId="668CC35F" w14:textId="77777777" w:rsidR="0022795A" w:rsidRDefault="0022795A"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22795A" w:rsidRPr="000C7CA3" w14:paraId="2C43F8AF" w14:textId="77777777" w:rsidTr="001E0142">
        <w:trPr>
          <w:cantSplit/>
          <w:jc w:val="center"/>
        </w:trPr>
        <w:tc>
          <w:tcPr>
            <w:tcW w:w="2696" w:type="dxa"/>
            <w:shd w:val="clear" w:color="auto" w:fill="D9D9D9"/>
            <w:tcMar>
              <w:top w:w="28" w:type="dxa"/>
              <w:left w:w="57" w:type="dxa"/>
              <w:bottom w:w="28" w:type="dxa"/>
              <w:right w:w="57" w:type="dxa"/>
            </w:tcMar>
            <w:vAlign w:val="center"/>
          </w:tcPr>
          <w:p w14:paraId="41300F85" w14:textId="77777777" w:rsidR="0022795A" w:rsidRPr="00A76316" w:rsidRDefault="0022795A" w:rsidP="001E0142">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6BD02C64" w14:textId="77777777" w:rsidR="0022795A" w:rsidRPr="0022795A" w:rsidRDefault="0022795A" w:rsidP="001E0142">
            <w:pPr>
              <w:rPr>
                <w:sz w:val="20"/>
              </w:rPr>
            </w:pPr>
            <w:r w:rsidRPr="0022795A">
              <w:rPr>
                <w:b/>
                <w:bCs/>
                <w:sz w:val="20"/>
              </w:rPr>
              <w:t>GS-0</w:t>
            </w:r>
            <w:r w:rsidR="00453F77">
              <w:rPr>
                <w:b/>
                <w:bCs/>
                <w:sz w:val="20"/>
              </w:rPr>
              <w:t>3</w:t>
            </w:r>
            <w:r w:rsidRPr="0022795A">
              <w:rPr>
                <w:b/>
                <w:bCs/>
                <w:sz w:val="20"/>
              </w:rPr>
              <w:t xml:space="preserve"> Quality of employment</w:t>
            </w:r>
          </w:p>
        </w:tc>
      </w:tr>
      <w:tr w:rsidR="0022795A" w:rsidRPr="000C7CA3" w14:paraId="7AA2608D" w14:textId="77777777" w:rsidTr="001E0142">
        <w:trPr>
          <w:cantSplit/>
          <w:jc w:val="center"/>
        </w:trPr>
        <w:tc>
          <w:tcPr>
            <w:tcW w:w="2696" w:type="dxa"/>
            <w:shd w:val="clear" w:color="auto" w:fill="D9D9D9"/>
            <w:tcMar>
              <w:top w:w="28" w:type="dxa"/>
              <w:left w:w="57" w:type="dxa"/>
              <w:bottom w:w="28" w:type="dxa"/>
              <w:right w:w="57" w:type="dxa"/>
            </w:tcMar>
            <w:vAlign w:val="center"/>
          </w:tcPr>
          <w:p w14:paraId="46A80AE5" w14:textId="77777777" w:rsidR="0022795A" w:rsidRPr="00D118BA" w:rsidRDefault="0022795A" w:rsidP="001E0142">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37B6CB4F" w14:textId="77777777" w:rsidR="0022795A" w:rsidRPr="0022795A" w:rsidRDefault="0022795A" w:rsidP="001E0142">
            <w:pPr>
              <w:rPr>
                <w:sz w:val="20"/>
              </w:rPr>
            </w:pPr>
            <w:r w:rsidRPr="0022795A">
              <w:rPr>
                <w:bCs/>
                <w:sz w:val="20"/>
              </w:rPr>
              <w:t>Number</w:t>
            </w:r>
          </w:p>
        </w:tc>
      </w:tr>
      <w:tr w:rsidR="0022795A" w:rsidRPr="000C7CA3" w14:paraId="75A2507B" w14:textId="77777777" w:rsidTr="001E0142">
        <w:trPr>
          <w:cantSplit/>
          <w:jc w:val="center"/>
        </w:trPr>
        <w:tc>
          <w:tcPr>
            <w:tcW w:w="2696" w:type="dxa"/>
            <w:shd w:val="clear" w:color="auto" w:fill="D9D9D9"/>
            <w:tcMar>
              <w:top w:w="28" w:type="dxa"/>
              <w:left w:w="57" w:type="dxa"/>
              <w:bottom w:w="28" w:type="dxa"/>
              <w:right w:w="57" w:type="dxa"/>
            </w:tcMar>
            <w:vAlign w:val="center"/>
          </w:tcPr>
          <w:p w14:paraId="425EECAC" w14:textId="77777777" w:rsidR="0022795A" w:rsidRPr="00D118BA" w:rsidRDefault="0022795A" w:rsidP="001E0142">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4EAA483E" w14:textId="77777777" w:rsidR="0022795A" w:rsidRPr="0022795A" w:rsidRDefault="0022795A" w:rsidP="001E0142">
            <w:pPr>
              <w:rPr>
                <w:sz w:val="20"/>
              </w:rPr>
            </w:pPr>
            <w:r w:rsidRPr="0022795A">
              <w:rPr>
                <w:bCs/>
                <w:sz w:val="20"/>
              </w:rPr>
              <w:t>Number of masons attending training programmes</w:t>
            </w:r>
          </w:p>
        </w:tc>
      </w:tr>
      <w:tr w:rsidR="0022795A" w:rsidRPr="000C7CA3" w14:paraId="70107C83" w14:textId="77777777" w:rsidTr="001E0142">
        <w:trPr>
          <w:cantSplit/>
          <w:jc w:val="center"/>
        </w:trPr>
        <w:tc>
          <w:tcPr>
            <w:tcW w:w="2696" w:type="dxa"/>
            <w:shd w:val="clear" w:color="auto" w:fill="D9D9D9"/>
            <w:tcMar>
              <w:top w:w="28" w:type="dxa"/>
              <w:left w:w="57" w:type="dxa"/>
              <w:bottom w:w="28" w:type="dxa"/>
              <w:right w:w="57" w:type="dxa"/>
            </w:tcMar>
            <w:vAlign w:val="center"/>
          </w:tcPr>
          <w:p w14:paraId="6EF67657" w14:textId="77777777" w:rsidR="0022795A" w:rsidRPr="00D118BA" w:rsidRDefault="0022795A" w:rsidP="001E0142">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0026EAF6" w14:textId="77777777" w:rsidR="0022795A" w:rsidRPr="0022795A" w:rsidRDefault="00453F77" w:rsidP="001E0142">
            <w:pPr>
              <w:rPr>
                <w:sz w:val="20"/>
              </w:rPr>
            </w:pPr>
            <w:r>
              <w:rPr>
                <w:bCs/>
                <w:sz w:val="20"/>
              </w:rPr>
              <w:t>Annual monitoring</w:t>
            </w:r>
          </w:p>
        </w:tc>
      </w:tr>
      <w:tr w:rsidR="0022795A" w:rsidRPr="000C7CA3" w14:paraId="4C936490" w14:textId="77777777" w:rsidTr="001E0142">
        <w:trPr>
          <w:cantSplit/>
          <w:jc w:val="center"/>
        </w:trPr>
        <w:tc>
          <w:tcPr>
            <w:tcW w:w="2696" w:type="dxa"/>
            <w:shd w:val="clear" w:color="auto" w:fill="D9D9D9"/>
            <w:tcMar>
              <w:top w:w="28" w:type="dxa"/>
              <w:left w:w="57" w:type="dxa"/>
              <w:bottom w:w="28" w:type="dxa"/>
              <w:right w:w="57" w:type="dxa"/>
            </w:tcMar>
            <w:vAlign w:val="center"/>
          </w:tcPr>
          <w:p w14:paraId="4385A0AE" w14:textId="77777777" w:rsidR="0022795A" w:rsidRPr="00D118BA" w:rsidRDefault="0022795A" w:rsidP="001E0142">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78721B6F" w14:textId="77777777" w:rsidR="0022795A" w:rsidRPr="0022795A" w:rsidRDefault="0022795A" w:rsidP="001E0142">
            <w:pPr>
              <w:rPr>
                <w:sz w:val="20"/>
              </w:rPr>
            </w:pPr>
            <w:r w:rsidRPr="0022795A">
              <w:rPr>
                <w:bCs/>
                <w:sz w:val="20"/>
              </w:rPr>
              <w:t>Not applicable, no effect on emission reductions</w:t>
            </w:r>
          </w:p>
        </w:tc>
      </w:tr>
      <w:tr w:rsidR="0022795A" w:rsidRPr="000C7CA3" w14:paraId="0DFF8BF1" w14:textId="77777777" w:rsidTr="001E0142">
        <w:trPr>
          <w:cantSplit/>
          <w:jc w:val="center"/>
        </w:trPr>
        <w:tc>
          <w:tcPr>
            <w:tcW w:w="2696" w:type="dxa"/>
            <w:shd w:val="clear" w:color="auto" w:fill="D9D9D9"/>
            <w:tcMar>
              <w:top w:w="28" w:type="dxa"/>
              <w:left w:w="57" w:type="dxa"/>
              <w:bottom w:w="28" w:type="dxa"/>
              <w:right w:w="57" w:type="dxa"/>
            </w:tcMar>
            <w:vAlign w:val="center"/>
          </w:tcPr>
          <w:p w14:paraId="4D85D03D" w14:textId="77777777" w:rsidR="0022795A" w:rsidRPr="00D118BA" w:rsidRDefault="0022795A" w:rsidP="001E0142">
            <w:pPr>
              <w:jc w:val="left"/>
              <w:rPr>
                <w:sz w:val="20"/>
              </w:rPr>
            </w:pPr>
            <w:bookmarkStart w:id="19" w:name="_Hlk494373538"/>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21928B87" w14:textId="77777777" w:rsidR="0022795A" w:rsidRPr="0022795A" w:rsidRDefault="0022795A" w:rsidP="001E0142">
            <w:pPr>
              <w:rPr>
                <w:sz w:val="20"/>
              </w:rPr>
            </w:pPr>
            <w:r w:rsidRPr="0022795A">
              <w:rPr>
                <w:bCs/>
                <w:sz w:val="20"/>
              </w:rPr>
              <w:t>All vocational training attendees will be issued with a certificate proving their attendance, and a record of their names, contact details and gender, will be kept as part of the CME’s consolidated monitoring database. This will be updated as and when trainings are conducted.</w:t>
            </w:r>
          </w:p>
        </w:tc>
      </w:tr>
      <w:bookmarkEnd w:id="19"/>
      <w:tr w:rsidR="0022795A" w:rsidRPr="000C7CA3" w14:paraId="65607985" w14:textId="77777777" w:rsidTr="001E0142">
        <w:trPr>
          <w:cantSplit/>
          <w:jc w:val="center"/>
        </w:trPr>
        <w:tc>
          <w:tcPr>
            <w:tcW w:w="2696" w:type="dxa"/>
            <w:shd w:val="clear" w:color="auto" w:fill="D9D9D9"/>
            <w:tcMar>
              <w:top w:w="28" w:type="dxa"/>
              <w:left w:w="57" w:type="dxa"/>
              <w:bottom w:w="28" w:type="dxa"/>
              <w:right w:w="57" w:type="dxa"/>
            </w:tcMar>
            <w:vAlign w:val="center"/>
          </w:tcPr>
          <w:p w14:paraId="1FA8647C" w14:textId="77777777" w:rsidR="0022795A" w:rsidRPr="00D118BA" w:rsidRDefault="0022795A" w:rsidP="001E0142">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1A23AAE9" w14:textId="77777777" w:rsidR="0022795A" w:rsidRPr="0022795A" w:rsidRDefault="0022795A" w:rsidP="001E0142">
            <w:pPr>
              <w:rPr>
                <w:sz w:val="20"/>
              </w:rPr>
            </w:pPr>
            <w:r w:rsidRPr="0022795A">
              <w:rPr>
                <w:bCs/>
                <w:sz w:val="20"/>
              </w:rPr>
              <w:t>Annual</w:t>
            </w:r>
          </w:p>
        </w:tc>
      </w:tr>
      <w:tr w:rsidR="0022795A" w:rsidRPr="000C7CA3" w14:paraId="27C288F2" w14:textId="77777777" w:rsidTr="001E0142">
        <w:trPr>
          <w:cantSplit/>
          <w:jc w:val="center"/>
        </w:trPr>
        <w:tc>
          <w:tcPr>
            <w:tcW w:w="2696" w:type="dxa"/>
            <w:shd w:val="clear" w:color="auto" w:fill="D9D9D9"/>
            <w:tcMar>
              <w:top w:w="28" w:type="dxa"/>
              <w:left w:w="57" w:type="dxa"/>
              <w:bottom w:w="28" w:type="dxa"/>
              <w:right w:w="57" w:type="dxa"/>
            </w:tcMar>
            <w:vAlign w:val="center"/>
          </w:tcPr>
          <w:p w14:paraId="4122CB18" w14:textId="77777777" w:rsidR="0022795A" w:rsidRPr="00D118BA" w:rsidRDefault="0022795A" w:rsidP="001E0142">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6ED62125" w14:textId="77777777" w:rsidR="0022795A" w:rsidRPr="0022795A" w:rsidRDefault="0022795A" w:rsidP="001E0142">
            <w:pPr>
              <w:rPr>
                <w:sz w:val="20"/>
              </w:rPr>
            </w:pPr>
            <w:r w:rsidRPr="0022795A">
              <w:rPr>
                <w:bCs/>
                <w:sz w:val="20"/>
              </w:rPr>
              <w:t>N/A</w:t>
            </w:r>
          </w:p>
        </w:tc>
      </w:tr>
      <w:tr w:rsidR="0022795A" w:rsidRPr="000C7CA3" w14:paraId="6F3179AC" w14:textId="77777777" w:rsidTr="001E0142">
        <w:trPr>
          <w:cantSplit/>
          <w:jc w:val="center"/>
        </w:trPr>
        <w:tc>
          <w:tcPr>
            <w:tcW w:w="2696" w:type="dxa"/>
            <w:shd w:val="clear" w:color="auto" w:fill="D9D9D9"/>
            <w:tcMar>
              <w:top w:w="28" w:type="dxa"/>
              <w:left w:w="57" w:type="dxa"/>
              <w:bottom w:w="28" w:type="dxa"/>
              <w:right w:w="57" w:type="dxa"/>
            </w:tcMar>
            <w:vAlign w:val="center"/>
          </w:tcPr>
          <w:p w14:paraId="6D0C732B" w14:textId="77777777" w:rsidR="0022795A" w:rsidRPr="00D118BA" w:rsidRDefault="0022795A" w:rsidP="001E0142">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11AB2EDC" w14:textId="77777777" w:rsidR="0022795A" w:rsidRPr="0022795A" w:rsidRDefault="0022795A" w:rsidP="001E0142">
            <w:pPr>
              <w:rPr>
                <w:sz w:val="20"/>
              </w:rPr>
            </w:pPr>
            <w:r w:rsidRPr="0022795A">
              <w:rPr>
                <w:bCs/>
                <w:sz w:val="20"/>
              </w:rPr>
              <w:t>Monitoring of sustainable development benefits</w:t>
            </w:r>
          </w:p>
        </w:tc>
      </w:tr>
      <w:tr w:rsidR="0022795A" w:rsidRPr="000C7CA3" w14:paraId="51E91407" w14:textId="77777777" w:rsidTr="001E0142">
        <w:trPr>
          <w:cantSplit/>
          <w:jc w:val="center"/>
        </w:trPr>
        <w:tc>
          <w:tcPr>
            <w:tcW w:w="2696" w:type="dxa"/>
            <w:shd w:val="clear" w:color="auto" w:fill="D9D9D9"/>
            <w:tcMar>
              <w:top w:w="28" w:type="dxa"/>
              <w:left w:w="57" w:type="dxa"/>
              <w:bottom w:w="28" w:type="dxa"/>
              <w:right w:w="57" w:type="dxa"/>
            </w:tcMar>
            <w:vAlign w:val="center"/>
          </w:tcPr>
          <w:p w14:paraId="5815ADD3" w14:textId="77777777" w:rsidR="0022795A" w:rsidRPr="00D118BA" w:rsidRDefault="0022795A" w:rsidP="001E0142">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52BA58AF" w14:textId="77777777" w:rsidR="0022795A" w:rsidRPr="0022795A" w:rsidRDefault="0022795A" w:rsidP="001E0142">
            <w:pPr>
              <w:rPr>
                <w:sz w:val="20"/>
              </w:rPr>
            </w:pPr>
            <w:r w:rsidRPr="0022795A">
              <w:rPr>
                <w:sz w:val="20"/>
              </w:rPr>
              <w:t>N/A</w:t>
            </w:r>
          </w:p>
        </w:tc>
      </w:tr>
    </w:tbl>
    <w:p w14:paraId="75B2444E" w14:textId="77777777" w:rsidR="0022795A" w:rsidRDefault="0022795A"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93628B" w:rsidRPr="000C7CA3" w14:paraId="4FAF05AC" w14:textId="77777777" w:rsidTr="001C250B">
        <w:trPr>
          <w:cantSplit/>
          <w:jc w:val="center"/>
        </w:trPr>
        <w:tc>
          <w:tcPr>
            <w:tcW w:w="2696" w:type="dxa"/>
            <w:shd w:val="clear" w:color="auto" w:fill="D9D9D9"/>
            <w:tcMar>
              <w:top w:w="28" w:type="dxa"/>
              <w:left w:w="57" w:type="dxa"/>
              <w:bottom w:w="28" w:type="dxa"/>
              <w:right w:w="57" w:type="dxa"/>
            </w:tcMar>
            <w:vAlign w:val="center"/>
          </w:tcPr>
          <w:p w14:paraId="52F35687" w14:textId="77777777" w:rsidR="0093628B" w:rsidRPr="00A76316" w:rsidRDefault="0093628B" w:rsidP="001C250B">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5C4B4BFD" w14:textId="77777777" w:rsidR="0093628B" w:rsidRPr="0022795A" w:rsidRDefault="0093628B" w:rsidP="00D275A6">
            <w:pPr>
              <w:rPr>
                <w:sz w:val="20"/>
              </w:rPr>
            </w:pPr>
            <w:r>
              <w:rPr>
                <w:b/>
                <w:bCs/>
                <w:sz w:val="20"/>
              </w:rPr>
              <w:t>GS-0</w:t>
            </w:r>
            <w:r w:rsidR="00D275A6">
              <w:rPr>
                <w:b/>
                <w:bCs/>
                <w:sz w:val="20"/>
              </w:rPr>
              <w:t>4</w:t>
            </w:r>
            <w:r w:rsidRPr="0022795A">
              <w:rPr>
                <w:b/>
                <w:bCs/>
                <w:sz w:val="20"/>
              </w:rPr>
              <w:t xml:space="preserve"> </w:t>
            </w:r>
            <w:r>
              <w:rPr>
                <w:b/>
                <w:bCs/>
                <w:sz w:val="20"/>
              </w:rPr>
              <w:t>Livelihood of the poor</w:t>
            </w:r>
          </w:p>
        </w:tc>
      </w:tr>
      <w:tr w:rsidR="0093628B" w:rsidRPr="000C7CA3" w14:paraId="639E8142" w14:textId="77777777" w:rsidTr="001C250B">
        <w:trPr>
          <w:cantSplit/>
          <w:jc w:val="center"/>
        </w:trPr>
        <w:tc>
          <w:tcPr>
            <w:tcW w:w="2696" w:type="dxa"/>
            <w:shd w:val="clear" w:color="auto" w:fill="D9D9D9"/>
            <w:tcMar>
              <w:top w:w="28" w:type="dxa"/>
              <w:left w:w="57" w:type="dxa"/>
              <w:bottom w:w="28" w:type="dxa"/>
              <w:right w:w="57" w:type="dxa"/>
            </w:tcMar>
            <w:vAlign w:val="center"/>
          </w:tcPr>
          <w:p w14:paraId="08796C62" w14:textId="77777777" w:rsidR="0093628B" w:rsidRPr="00D118BA" w:rsidRDefault="0093628B" w:rsidP="001C250B">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353F975C" w14:textId="77777777" w:rsidR="0093628B" w:rsidRPr="0093628B" w:rsidRDefault="0093628B" w:rsidP="001C250B">
            <w:pPr>
              <w:rPr>
                <w:sz w:val="20"/>
              </w:rPr>
            </w:pPr>
            <w:r w:rsidRPr="0093628B">
              <w:rPr>
                <w:bCs/>
                <w:sz w:val="20"/>
              </w:rPr>
              <w:t>%</w:t>
            </w:r>
          </w:p>
        </w:tc>
      </w:tr>
      <w:tr w:rsidR="0093628B" w:rsidRPr="000C7CA3" w14:paraId="540F9305" w14:textId="77777777" w:rsidTr="001C250B">
        <w:trPr>
          <w:cantSplit/>
          <w:jc w:val="center"/>
        </w:trPr>
        <w:tc>
          <w:tcPr>
            <w:tcW w:w="2696" w:type="dxa"/>
            <w:shd w:val="clear" w:color="auto" w:fill="D9D9D9"/>
            <w:tcMar>
              <w:top w:w="28" w:type="dxa"/>
              <w:left w:w="57" w:type="dxa"/>
              <w:bottom w:w="28" w:type="dxa"/>
              <w:right w:w="57" w:type="dxa"/>
            </w:tcMar>
            <w:vAlign w:val="center"/>
          </w:tcPr>
          <w:p w14:paraId="52D19CD6" w14:textId="77777777" w:rsidR="0093628B" w:rsidRPr="00D118BA" w:rsidRDefault="0093628B" w:rsidP="001C250B">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4E7AB21B" w14:textId="77777777" w:rsidR="0093628B" w:rsidRPr="0093628B" w:rsidRDefault="0093628B" w:rsidP="001C250B">
            <w:pPr>
              <w:rPr>
                <w:sz w:val="20"/>
              </w:rPr>
            </w:pPr>
            <w:r w:rsidRPr="0093628B">
              <w:rPr>
                <w:bCs/>
                <w:sz w:val="20"/>
              </w:rPr>
              <w:t>Percentage of users reporting changes in expenditure on fuel for cooking</w:t>
            </w:r>
          </w:p>
        </w:tc>
      </w:tr>
      <w:tr w:rsidR="0093628B" w:rsidRPr="000C7CA3" w14:paraId="64F0D31D" w14:textId="77777777" w:rsidTr="001C250B">
        <w:trPr>
          <w:cantSplit/>
          <w:jc w:val="center"/>
        </w:trPr>
        <w:tc>
          <w:tcPr>
            <w:tcW w:w="2696" w:type="dxa"/>
            <w:shd w:val="clear" w:color="auto" w:fill="D9D9D9"/>
            <w:tcMar>
              <w:top w:w="28" w:type="dxa"/>
              <w:left w:w="57" w:type="dxa"/>
              <w:bottom w:w="28" w:type="dxa"/>
              <w:right w:w="57" w:type="dxa"/>
            </w:tcMar>
            <w:vAlign w:val="center"/>
          </w:tcPr>
          <w:p w14:paraId="7487FF27" w14:textId="77777777" w:rsidR="0093628B" w:rsidRPr="00D118BA" w:rsidRDefault="0093628B" w:rsidP="001C250B">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2054814B" w14:textId="77777777" w:rsidR="0093628B" w:rsidRPr="0093628B" w:rsidRDefault="00D275A6" w:rsidP="001C250B">
            <w:pPr>
              <w:rPr>
                <w:sz w:val="20"/>
              </w:rPr>
            </w:pPr>
            <w:r>
              <w:rPr>
                <w:bCs/>
                <w:sz w:val="20"/>
              </w:rPr>
              <w:t xml:space="preserve">Monitoring </w:t>
            </w:r>
            <w:r w:rsidR="0093628B" w:rsidRPr="0093628B">
              <w:rPr>
                <w:bCs/>
                <w:sz w:val="20"/>
              </w:rPr>
              <w:t>survey</w:t>
            </w:r>
          </w:p>
        </w:tc>
      </w:tr>
      <w:tr w:rsidR="0093628B" w:rsidRPr="000C7CA3" w14:paraId="188B56D1" w14:textId="77777777" w:rsidTr="001C250B">
        <w:trPr>
          <w:cantSplit/>
          <w:jc w:val="center"/>
        </w:trPr>
        <w:tc>
          <w:tcPr>
            <w:tcW w:w="2696" w:type="dxa"/>
            <w:shd w:val="clear" w:color="auto" w:fill="D9D9D9"/>
            <w:tcMar>
              <w:top w:w="28" w:type="dxa"/>
              <w:left w:w="57" w:type="dxa"/>
              <w:bottom w:w="28" w:type="dxa"/>
              <w:right w:w="57" w:type="dxa"/>
            </w:tcMar>
            <w:vAlign w:val="center"/>
          </w:tcPr>
          <w:p w14:paraId="05DFFA92" w14:textId="77777777" w:rsidR="0093628B" w:rsidRPr="00D118BA" w:rsidRDefault="0093628B" w:rsidP="001C250B">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7C9C7041" w14:textId="77777777" w:rsidR="0093628B" w:rsidRPr="0093628B" w:rsidRDefault="0093628B" w:rsidP="001C250B">
            <w:pPr>
              <w:rPr>
                <w:sz w:val="20"/>
              </w:rPr>
            </w:pPr>
            <w:r w:rsidRPr="0093628B">
              <w:rPr>
                <w:bCs/>
                <w:sz w:val="20"/>
              </w:rPr>
              <w:t>Not applicable, no effect on emission reductions</w:t>
            </w:r>
          </w:p>
        </w:tc>
      </w:tr>
      <w:tr w:rsidR="0093628B" w:rsidRPr="000C7CA3" w14:paraId="0B15C70C" w14:textId="77777777" w:rsidTr="001C250B">
        <w:trPr>
          <w:cantSplit/>
          <w:jc w:val="center"/>
        </w:trPr>
        <w:tc>
          <w:tcPr>
            <w:tcW w:w="2696" w:type="dxa"/>
            <w:shd w:val="clear" w:color="auto" w:fill="D9D9D9"/>
            <w:tcMar>
              <w:top w:w="28" w:type="dxa"/>
              <w:left w:w="57" w:type="dxa"/>
              <w:bottom w:w="28" w:type="dxa"/>
              <w:right w:w="57" w:type="dxa"/>
            </w:tcMar>
            <w:vAlign w:val="center"/>
          </w:tcPr>
          <w:p w14:paraId="348E444D" w14:textId="77777777" w:rsidR="0093628B" w:rsidRPr="00D118BA" w:rsidRDefault="0093628B" w:rsidP="001C250B">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50DF168A" w14:textId="77777777" w:rsidR="0093628B" w:rsidRPr="0093628B" w:rsidRDefault="0093628B" w:rsidP="0093628B">
            <w:pPr>
              <w:pStyle w:val="SDMTableBoxParaNotNumbered"/>
              <w:rPr>
                <w:bCs/>
              </w:rPr>
            </w:pPr>
            <w:r w:rsidRPr="0093628B">
              <w:rPr>
                <w:bCs/>
              </w:rPr>
              <w:t>Stakeholders will be asked:</w:t>
            </w:r>
          </w:p>
          <w:p w14:paraId="19707A70" w14:textId="77777777" w:rsidR="0093628B" w:rsidRPr="0093628B" w:rsidRDefault="0093628B" w:rsidP="0093628B">
            <w:pPr>
              <w:rPr>
                <w:sz w:val="20"/>
              </w:rPr>
            </w:pPr>
            <w:r w:rsidRPr="0093628B">
              <w:rPr>
                <w:bCs/>
                <w:sz w:val="20"/>
              </w:rPr>
              <w:t>Has your expenditure of fuel for cooking a) increased, b) decrease or c) stayed the same since purchasing the biogas digester?</w:t>
            </w:r>
          </w:p>
        </w:tc>
      </w:tr>
      <w:tr w:rsidR="0093628B" w:rsidRPr="000C7CA3" w14:paraId="41F74F28" w14:textId="77777777" w:rsidTr="001C250B">
        <w:trPr>
          <w:cantSplit/>
          <w:jc w:val="center"/>
        </w:trPr>
        <w:tc>
          <w:tcPr>
            <w:tcW w:w="2696" w:type="dxa"/>
            <w:shd w:val="clear" w:color="auto" w:fill="D9D9D9"/>
            <w:tcMar>
              <w:top w:w="28" w:type="dxa"/>
              <w:left w:w="57" w:type="dxa"/>
              <w:bottom w:w="28" w:type="dxa"/>
              <w:right w:w="57" w:type="dxa"/>
            </w:tcMar>
            <w:vAlign w:val="center"/>
          </w:tcPr>
          <w:p w14:paraId="5D81DF37" w14:textId="77777777" w:rsidR="0093628B" w:rsidRPr="00D118BA" w:rsidRDefault="0093628B" w:rsidP="001C250B">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5A5D223C" w14:textId="77777777" w:rsidR="0093628B" w:rsidRPr="0093628B" w:rsidRDefault="0093628B" w:rsidP="001C250B">
            <w:pPr>
              <w:rPr>
                <w:sz w:val="20"/>
              </w:rPr>
            </w:pPr>
            <w:r w:rsidRPr="0093628B">
              <w:rPr>
                <w:bCs/>
                <w:sz w:val="20"/>
              </w:rPr>
              <w:t>Annual</w:t>
            </w:r>
          </w:p>
        </w:tc>
      </w:tr>
      <w:tr w:rsidR="0093628B" w:rsidRPr="000C7CA3" w14:paraId="5F94FBAC" w14:textId="77777777" w:rsidTr="001C250B">
        <w:trPr>
          <w:cantSplit/>
          <w:jc w:val="center"/>
        </w:trPr>
        <w:tc>
          <w:tcPr>
            <w:tcW w:w="2696" w:type="dxa"/>
            <w:shd w:val="clear" w:color="auto" w:fill="D9D9D9"/>
            <w:tcMar>
              <w:top w:w="28" w:type="dxa"/>
              <w:left w:w="57" w:type="dxa"/>
              <w:bottom w:w="28" w:type="dxa"/>
              <w:right w:w="57" w:type="dxa"/>
            </w:tcMar>
            <w:vAlign w:val="center"/>
          </w:tcPr>
          <w:p w14:paraId="47A498EF" w14:textId="77777777" w:rsidR="0093628B" w:rsidRPr="00D118BA" w:rsidRDefault="0093628B" w:rsidP="001C250B">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108BD5C7" w14:textId="77777777" w:rsidR="0093628B" w:rsidRPr="0093628B" w:rsidRDefault="0093628B" w:rsidP="001C250B">
            <w:pPr>
              <w:rPr>
                <w:sz w:val="20"/>
              </w:rPr>
            </w:pPr>
            <w:r w:rsidRPr="0093628B">
              <w:rPr>
                <w:bCs/>
                <w:sz w:val="20"/>
              </w:rPr>
              <w:t>N/A</w:t>
            </w:r>
          </w:p>
        </w:tc>
      </w:tr>
      <w:tr w:rsidR="0093628B" w:rsidRPr="000C7CA3" w14:paraId="10EA0E06" w14:textId="77777777" w:rsidTr="001C250B">
        <w:trPr>
          <w:cantSplit/>
          <w:jc w:val="center"/>
        </w:trPr>
        <w:tc>
          <w:tcPr>
            <w:tcW w:w="2696" w:type="dxa"/>
            <w:shd w:val="clear" w:color="auto" w:fill="D9D9D9"/>
            <w:tcMar>
              <w:top w:w="28" w:type="dxa"/>
              <w:left w:w="57" w:type="dxa"/>
              <w:bottom w:w="28" w:type="dxa"/>
              <w:right w:w="57" w:type="dxa"/>
            </w:tcMar>
            <w:vAlign w:val="center"/>
          </w:tcPr>
          <w:p w14:paraId="7187E127" w14:textId="77777777" w:rsidR="0093628B" w:rsidRPr="00D118BA" w:rsidRDefault="0093628B" w:rsidP="001C250B">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04D5960C" w14:textId="77777777" w:rsidR="0093628B" w:rsidRPr="0093628B" w:rsidRDefault="0093628B" w:rsidP="001C250B">
            <w:pPr>
              <w:rPr>
                <w:sz w:val="20"/>
              </w:rPr>
            </w:pPr>
            <w:r w:rsidRPr="0093628B">
              <w:rPr>
                <w:bCs/>
                <w:sz w:val="20"/>
              </w:rPr>
              <w:t>Monitoring of sustainable development benefits</w:t>
            </w:r>
          </w:p>
        </w:tc>
      </w:tr>
      <w:tr w:rsidR="0093628B" w:rsidRPr="000C7CA3" w14:paraId="00D40CA8" w14:textId="77777777" w:rsidTr="001C250B">
        <w:trPr>
          <w:cantSplit/>
          <w:jc w:val="center"/>
        </w:trPr>
        <w:tc>
          <w:tcPr>
            <w:tcW w:w="2696" w:type="dxa"/>
            <w:shd w:val="clear" w:color="auto" w:fill="D9D9D9"/>
            <w:tcMar>
              <w:top w:w="28" w:type="dxa"/>
              <w:left w:w="57" w:type="dxa"/>
              <w:bottom w:w="28" w:type="dxa"/>
              <w:right w:w="57" w:type="dxa"/>
            </w:tcMar>
            <w:vAlign w:val="center"/>
          </w:tcPr>
          <w:p w14:paraId="7E28B07A" w14:textId="77777777" w:rsidR="0093628B" w:rsidRPr="00D118BA" w:rsidRDefault="0093628B" w:rsidP="001C250B">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7A073047" w14:textId="77777777" w:rsidR="0093628B" w:rsidRPr="0093628B" w:rsidRDefault="0093628B" w:rsidP="001C250B">
            <w:pPr>
              <w:rPr>
                <w:sz w:val="20"/>
              </w:rPr>
            </w:pPr>
            <w:r w:rsidRPr="0093628B">
              <w:rPr>
                <w:sz w:val="20"/>
              </w:rPr>
              <w:t>N/A</w:t>
            </w:r>
          </w:p>
        </w:tc>
      </w:tr>
    </w:tbl>
    <w:p w14:paraId="61F63C0E" w14:textId="77777777" w:rsidR="0093628B" w:rsidRDefault="0093628B"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22795A" w:rsidRPr="000C7CA3" w14:paraId="0455E524" w14:textId="77777777" w:rsidTr="001E0142">
        <w:trPr>
          <w:cantSplit/>
          <w:jc w:val="center"/>
        </w:trPr>
        <w:tc>
          <w:tcPr>
            <w:tcW w:w="2696" w:type="dxa"/>
            <w:shd w:val="clear" w:color="auto" w:fill="D9D9D9"/>
            <w:tcMar>
              <w:top w:w="28" w:type="dxa"/>
              <w:left w:w="57" w:type="dxa"/>
              <w:bottom w:w="28" w:type="dxa"/>
              <w:right w:w="57" w:type="dxa"/>
            </w:tcMar>
            <w:vAlign w:val="center"/>
          </w:tcPr>
          <w:p w14:paraId="3E6AD9AD" w14:textId="77777777" w:rsidR="0022795A" w:rsidRPr="00A76316" w:rsidRDefault="0022795A" w:rsidP="001E0142">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242D9911" w14:textId="77777777" w:rsidR="0022795A" w:rsidRPr="0022795A" w:rsidRDefault="0022795A" w:rsidP="001E0142">
            <w:pPr>
              <w:rPr>
                <w:sz w:val="20"/>
              </w:rPr>
            </w:pPr>
            <w:r w:rsidRPr="0022795A">
              <w:rPr>
                <w:b/>
                <w:bCs/>
                <w:sz w:val="20"/>
              </w:rPr>
              <w:t>GS-0</w:t>
            </w:r>
            <w:r w:rsidR="00D275A6">
              <w:rPr>
                <w:b/>
                <w:bCs/>
                <w:sz w:val="20"/>
              </w:rPr>
              <w:t>5</w:t>
            </w:r>
            <w:r w:rsidRPr="0022795A">
              <w:rPr>
                <w:b/>
                <w:bCs/>
                <w:sz w:val="20"/>
              </w:rPr>
              <w:t xml:space="preserve"> Access to affordable and clean energy services</w:t>
            </w:r>
          </w:p>
        </w:tc>
      </w:tr>
      <w:tr w:rsidR="0022795A" w:rsidRPr="000C7CA3" w14:paraId="6936C78B" w14:textId="77777777" w:rsidTr="001E0142">
        <w:trPr>
          <w:cantSplit/>
          <w:jc w:val="center"/>
        </w:trPr>
        <w:tc>
          <w:tcPr>
            <w:tcW w:w="2696" w:type="dxa"/>
            <w:shd w:val="clear" w:color="auto" w:fill="D9D9D9"/>
            <w:tcMar>
              <w:top w:w="28" w:type="dxa"/>
              <w:left w:w="57" w:type="dxa"/>
              <w:bottom w:w="28" w:type="dxa"/>
              <w:right w:w="57" w:type="dxa"/>
            </w:tcMar>
            <w:vAlign w:val="center"/>
          </w:tcPr>
          <w:p w14:paraId="6E443FE3" w14:textId="77777777" w:rsidR="0022795A" w:rsidRPr="00D118BA" w:rsidRDefault="0022795A" w:rsidP="001E0142">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4B53CEF1" w14:textId="77777777" w:rsidR="0022795A" w:rsidRPr="0022795A" w:rsidRDefault="0022795A" w:rsidP="001E0142">
            <w:pPr>
              <w:rPr>
                <w:sz w:val="20"/>
              </w:rPr>
            </w:pPr>
            <w:r w:rsidRPr="0022795A">
              <w:rPr>
                <w:bCs/>
                <w:sz w:val="20"/>
              </w:rPr>
              <w:t>Number</w:t>
            </w:r>
          </w:p>
        </w:tc>
      </w:tr>
      <w:tr w:rsidR="0022795A" w:rsidRPr="000C7CA3" w14:paraId="2CE0EED0" w14:textId="77777777" w:rsidTr="001E0142">
        <w:trPr>
          <w:cantSplit/>
          <w:jc w:val="center"/>
        </w:trPr>
        <w:tc>
          <w:tcPr>
            <w:tcW w:w="2696" w:type="dxa"/>
            <w:shd w:val="clear" w:color="auto" w:fill="D9D9D9"/>
            <w:tcMar>
              <w:top w:w="28" w:type="dxa"/>
              <w:left w:w="57" w:type="dxa"/>
              <w:bottom w:w="28" w:type="dxa"/>
              <w:right w:w="57" w:type="dxa"/>
            </w:tcMar>
            <w:vAlign w:val="center"/>
          </w:tcPr>
          <w:p w14:paraId="75921116" w14:textId="77777777" w:rsidR="0022795A" w:rsidRPr="00D118BA" w:rsidRDefault="0022795A" w:rsidP="001E0142">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7FA660EA" w14:textId="77777777" w:rsidR="0022795A" w:rsidRPr="0022795A" w:rsidRDefault="0022795A" w:rsidP="001E0142">
            <w:pPr>
              <w:rPr>
                <w:sz w:val="20"/>
              </w:rPr>
            </w:pPr>
            <w:r w:rsidRPr="0022795A">
              <w:rPr>
                <w:bCs/>
                <w:sz w:val="20"/>
              </w:rPr>
              <w:t>Number of biogas units installed</w:t>
            </w:r>
          </w:p>
        </w:tc>
      </w:tr>
      <w:tr w:rsidR="0022795A" w:rsidRPr="000C7CA3" w14:paraId="4F42850E" w14:textId="77777777" w:rsidTr="001E0142">
        <w:trPr>
          <w:cantSplit/>
          <w:jc w:val="center"/>
        </w:trPr>
        <w:tc>
          <w:tcPr>
            <w:tcW w:w="2696" w:type="dxa"/>
            <w:shd w:val="clear" w:color="auto" w:fill="D9D9D9"/>
            <w:tcMar>
              <w:top w:w="28" w:type="dxa"/>
              <w:left w:w="57" w:type="dxa"/>
              <w:bottom w:w="28" w:type="dxa"/>
              <w:right w:w="57" w:type="dxa"/>
            </w:tcMar>
            <w:vAlign w:val="center"/>
          </w:tcPr>
          <w:p w14:paraId="4C367A81" w14:textId="77777777" w:rsidR="0022795A" w:rsidRPr="00D118BA" w:rsidRDefault="0022795A" w:rsidP="001E0142">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610671A4" w14:textId="77777777" w:rsidR="0022795A" w:rsidRPr="0022795A" w:rsidRDefault="0022795A" w:rsidP="001E0142">
            <w:pPr>
              <w:rPr>
                <w:sz w:val="20"/>
              </w:rPr>
            </w:pPr>
            <w:r w:rsidRPr="0022795A">
              <w:rPr>
                <w:bCs/>
                <w:sz w:val="20"/>
              </w:rPr>
              <w:t>Electronic Project Database</w:t>
            </w:r>
          </w:p>
        </w:tc>
      </w:tr>
      <w:tr w:rsidR="0022795A" w:rsidRPr="000C7CA3" w14:paraId="10A2B47C" w14:textId="77777777" w:rsidTr="001E0142">
        <w:trPr>
          <w:cantSplit/>
          <w:jc w:val="center"/>
        </w:trPr>
        <w:tc>
          <w:tcPr>
            <w:tcW w:w="2696" w:type="dxa"/>
            <w:shd w:val="clear" w:color="auto" w:fill="D9D9D9"/>
            <w:tcMar>
              <w:top w:w="28" w:type="dxa"/>
              <w:left w:w="57" w:type="dxa"/>
              <w:bottom w:w="28" w:type="dxa"/>
              <w:right w:w="57" w:type="dxa"/>
            </w:tcMar>
            <w:vAlign w:val="center"/>
          </w:tcPr>
          <w:p w14:paraId="45F75A2E" w14:textId="77777777" w:rsidR="0022795A" w:rsidRPr="00D118BA" w:rsidRDefault="0022795A" w:rsidP="001E0142">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3D4B665C" w14:textId="77777777" w:rsidR="0022795A" w:rsidRPr="0022795A" w:rsidRDefault="0022795A" w:rsidP="001E0142">
            <w:pPr>
              <w:rPr>
                <w:sz w:val="20"/>
              </w:rPr>
            </w:pPr>
            <w:r w:rsidRPr="0022795A">
              <w:rPr>
                <w:bCs/>
                <w:sz w:val="20"/>
              </w:rPr>
              <w:t>To be determined per VPA</w:t>
            </w:r>
          </w:p>
        </w:tc>
      </w:tr>
      <w:tr w:rsidR="0022795A" w:rsidRPr="000C7CA3" w14:paraId="0FE182A2" w14:textId="77777777" w:rsidTr="001E0142">
        <w:trPr>
          <w:cantSplit/>
          <w:jc w:val="center"/>
        </w:trPr>
        <w:tc>
          <w:tcPr>
            <w:tcW w:w="2696" w:type="dxa"/>
            <w:shd w:val="clear" w:color="auto" w:fill="D9D9D9"/>
            <w:tcMar>
              <w:top w:w="28" w:type="dxa"/>
              <w:left w:w="57" w:type="dxa"/>
              <w:bottom w:w="28" w:type="dxa"/>
              <w:right w:w="57" w:type="dxa"/>
            </w:tcMar>
            <w:vAlign w:val="center"/>
          </w:tcPr>
          <w:p w14:paraId="4CF2C373" w14:textId="77777777" w:rsidR="0022795A" w:rsidRPr="00D118BA" w:rsidRDefault="0022795A" w:rsidP="001E0142">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1840FAC8" w14:textId="77777777" w:rsidR="0022795A" w:rsidRPr="0022795A" w:rsidRDefault="0022795A" w:rsidP="001E0142">
            <w:pPr>
              <w:rPr>
                <w:sz w:val="20"/>
              </w:rPr>
            </w:pPr>
            <w:r w:rsidRPr="0022795A">
              <w:rPr>
                <w:bCs/>
                <w:sz w:val="20"/>
                <w:lang w:val="en-US"/>
              </w:rPr>
              <w:t>The total number of biogas digesters will be determined via the electronic Project Database.</w:t>
            </w:r>
          </w:p>
        </w:tc>
      </w:tr>
      <w:tr w:rsidR="0022795A" w:rsidRPr="000C7CA3" w14:paraId="24080E6F" w14:textId="77777777" w:rsidTr="001E0142">
        <w:trPr>
          <w:cantSplit/>
          <w:jc w:val="center"/>
        </w:trPr>
        <w:tc>
          <w:tcPr>
            <w:tcW w:w="2696" w:type="dxa"/>
            <w:shd w:val="clear" w:color="auto" w:fill="D9D9D9"/>
            <w:tcMar>
              <w:top w:w="28" w:type="dxa"/>
              <w:left w:w="57" w:type="dxa"/>
              <w:bottom w:w="28" w:type="dxa"/>
              <w:right w:w="57" w:type="dxa"/>
            </w:tcMar>
            <w:vAlign w:val="center"/>
          </w:tcPr>
          <w:p w14:paraId="595D2843" w14:textId="77777777" w:rsidR="0022795A" w:rsidRPr="00D118BA" w:rsidRDefault="0022795A" w:rsidP="001E0142">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65DE8102" w14:textId="77777777" w:rsidR="0022795A" w:rsidRPr="0022795A" w:rsidRDefault="0022795A" w:rsidP="0022795A">
            <w:pPr>
              <w:pStyle w:val="SDMTableBoxParaNotNumbered"/>
              <w:jc w:val="both"/>
            </w:pPr>
            <w:r w:rsidRPr="0022795A">
              <w:rPr>
                <w:bCs/>
              </w:rPr>
              <w:t>Annual</w:t>
            </w:r>
          </w:p>
        </w:tc>
      </w:tr>
      <w:tr w:rsidR="0022795A" w:rsidRPr="000C7CA3" w14:paraId="67DB02D5" w14:textId="77777777" w:rsidTr="001E0142">
        <w:trPr>
          <w:cantSplit/>
          <w:jc w:val="center"/>
        </w:trPr>
        <w:tc>
          <w:tcPr>
            <w:tcW w:w="2696" w:type="dxa"/>
            <w:shd w:val="clear" w:color="auto" w:fill="D9D9D9"/>
            <w:tcMar>
              <w:top w:w="28" w:type="dxa"/>
              <w:left w:w="57" w:type="dxa"/>
              <w:bottom w:w="28" w:type="dxa"/>
              <w:right w:w="57" w:type="dxa"/>
            </w:tcMar>
            <w:vAlign w:val="center"/>
          </w:tcPr>
          <w:p w14:paraId="641E7098" w14:textId="77777777" w:rsidR="0022795A" w:rsidRPr="00D118BA" w:rsidRDefault="0022795A" w:rsidP="001E0142">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7ED260DD" w14:textId="77777777" w:rsidR="0022795A" w:rsidRPr="0022795A" w:rsidRDefault="0022795A" w:rsidP="001E0142">
            <w:pPr>
              <w:rPr>
                <w:sz w:val="20"/>
              </w:rPr>
            </w:pPr>
            <w:r w:rsidRPr="0022795A">
              <w:rPr>
                <w:sz w:val="20"/>
              </w:rPr>
              <w:t>N/A</w:t>
            </w:r>
          </w:p>
        </w:tc>
      </w:tr>
      <w:tr w:rsidR="0022795A" w:rsidRPr="000C7CA3" w14:paraId="3EDD71B1" w14:textId="77777777" w:rsidTr="001E0142">
        <w:trPr>
          <w:cantSplit/>
          <w:jc w:val="center"/>
        </w:trPr>
        <w:tc>
          <w:tcPr>
            <w:tcW w:w="2696" w:type="dxa"/>
            <w:shd w:val="clear" w:color="auto" w:fill="D9D9D9"/>
            <w:tcMar>
              <w:top w:w="28" w:type="dxa"/>
              <w:left w:w="57" w:type="dxa"/>
              <w:bottom w:w="28" w:type="dxa"/>
              <w:right w:w="57" w:type="dxa"/>
            </w:tcMar>
            <w:vAlign w:val="center"/>
          </w:tcPr>
          <w:p w14:paraId="58088BA8" w14:textId="77777777" w:rsidR="0022795A" w:rsidRPr="00D118BA" w:rsidRDefault="0022795A" w:rsidP="001E0142">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5AE2838C" w14:textId="77777777" w:rsidR="0022795A" w:rsidRPr="0022795A" w:rsidRDefault="0022795A" w:rsidP="001E0142">
            <w:pPr>
              <w:rPr>
                <w:sz w:val="20"/>
              </w:rPr>
            </w:pPr>
            <w:r w:rsidRPr="0022795A">
              <w:rPr>
                <w:sz w:val="20"/>
              </w:rPr>
              <w:t xml:space="preserve">Monitoring of sustainable development benefits </w:t>
            </w:r>
          </w:p>
        </w:tc>
      </w:tr>
      <w:tr w:rsidR="0022795A" w:rsidRPr="000C7CA3" w14:paraId="3D063E51" w14:textId="77777777" w:rsidTr="001E0142">
        <w:trPr>
          <w:cantSplit/>
          <w:jc w:val="center"/>
        </w:trPr>
        <w:tc>
          <w:tcPr>
            <w:tcW w:w="2696" w:type="dxa"/>
            <w:shd w:val="clear" w:color="auto" w:fill="D9D9D9"/>
            <w:tcMar>
              <w:top w:w="28" w:type="dxa"/>
              <w:left w:w="57" w:type="dxa"/>
              <w:bottom w:w="28" w:type="dxa"/>
              <w:right w:w="57" w:type="dxa"/>
            </w:tcMar>
            <w:vAlign w:val="center"/>
          </w:tcPr>
          <w:p w14:paraId="505F795A" w14:textId="77777777" w:rsidR="0022795A" w:rsidRPr="00D118BA" w:rsidRDefault="0022795A" w:rsidP="001E0142">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79BF5AAB" w14:textId="77777777" w:rsidR="0022795A" w:rsidRPr="0022795A" w:rsidRDefault="0022795A" w:rsidP="001E0142">
            <w:pPr>
              <w:rPr>
                <w:sz w:val="20"/>
              </w:rPr>
            </w:pPr>
            <w:r w:rsidRPr="0022795A">
              <w:rPr>
                <w:sz w:val="20"/>
              </w:rPr>
              <w:t>N/A</w:t>
            </w:r>
          </w:p>
        </w:tc>
      </w:tr>
    </w:tbl>
    <w:p w14:paraId="33918E5B" w14:textId="77777777" w:rsidR="0022795A" w:rsidRDefault="0022795A"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22795A" w:rsidRPr="000C7CA3" w14:paraId="4FBC4A03" w14:textId="77777777" w:rsidTr="001E0142">
        <w:trPr>
          <w:cantSplit/>
          <w:jc w:val="center"/>
        </w:trPr>
        <w:tc>
          <w:tcPr>
            <w:tcW w:w="2696" w:type="dxa"/>
            <w:shd w:val="clear" w:color="auto" w:fill="D9D9D9"/>
            <w:tcMar>
              <w:top w:w="28" w:type="dxa"/>
              <w:left w:w="57" w:type="dxa"/>
              <w:bottom w:w="28" w:type="dxa"/>
              <w:right w:w="57" w:type="dxa"/>
            </w:tcMar>
            <w:vAlign w:val="center"/>
          </w:tcPr>
          <w:p w14:paraId="720F063B" w14:textId="77777777" w:rsidR="0022795A" w:rsidRPr="00A76316" w:rsidRDefault="0022795A" w:rsidP="001E0142">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456F0915" w14:textId="77777777" w:rsidR="0022795A" w:rsidRPr="0022795A" w:rsidRDefault="0022795A" w:rsidP="001E0142">
            <w:pPr>
              <w:rPr>
                <w:sz w:val="20"/>
              </w:rPr>
            </w:pPr>
            <w:r w:rsidRPr="0022795A">
              <w:rPr>
                <w:b/>
                <w:bCs/>
                <w:sz w:val="20"/>
              </w:rPr>
              <w:t>GS-</w:t>
            </w:r>
            <w:r w:rsidR="00AD281C">
              <w:rPr>
                <w:b/>
                <w:bCs/>
                <w:sz w:val="20"/>
              </w:rPr>
              <w:t>06</w:t>
            </w:r>
            <w:r w:rsidRPr="0022795A">
              <w:rPr>
                <w:b/>
                <w:bCs/>
                <w:sz w:val="20"/>
              </w:rPr>
              <w:t xml:space="preserve"> Quantitative employment and income generation</w:t>
            </w:r>
          </w:p>
        </w:tc>
      </w:tr>
      <w:tr w:rsidR="0022795A" w:rsidRPr="000C7CA3" w14:paraId="7D4F80F2" w14:textId="77777777" w:rsidTr="001E0142">
        <w:trPr>
          <w:cantSplit/>
          <w:jc w:val="center"/>
        </w:trPr>
        <w:tc>
          <w:tcPr>
            <w:tcW w:w="2696" w:type="dxa"/>
            <w:shd w:val="clear" w:color="auto" w:fill="D9D9D9"/>
            <w:tcMar>
              <w:top w:w="28" w:type="dxa"/>
              <w:left w:w="57" w:type="dxa"/>
              <w:bottom w:w="28" w:type="dxa"/>
              <w:right w:w="57" w:type="dxa"/>
            </w:tcMar>
            <w:vAlign w:val="center"/>
          </w:tcPr>
          <w:p w14:paraId="057037B3" w14:textId="77777777" w:rsidR="0022795A" w:rsidRPr="00D118BA" w:rsidRDefault="0022795A" w:rsidP="001E0142">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3D158301" w14:textId="77777777" w:rsidR="0022795A" w:rsidRPr="0022795A" w:rsidRDefault="0022795A" w:rsidP="001E0142">
            <w:pPr>
              <w:rPr>
                <w:sz w:val="20"/>
              </w:rPr>
            </w:pPr>
            <w:r w:rsidRPr="0022795A">
              <w:rPr>
                <w:bCs/>
                <w:sz w:val="20"/>
              </w:rPr>
              <w:t>Number</w:t>
            </w:r>
          </w:p>
        </w:tc>
      </w:tr>
      <w:tr w:rsidR="0022795A" w:rsidRPr="000C7CA3" w14:paraId="3331A357" w14:textId="77777777" w:rsidTr="001E0142">
        <w:trPr>
          <w:cantSplit/>
          <w:jc w:val="center"/>
        </w:trPr>
        <w:tc>
          <w:tcPr>
            <w:tcW w:w="2696" w:type="dxa"/>
            <w:shd w:val="clear" w:color="auto" w:fill="D9D9D9"/>
            <w:tcMar>
              <w:top w:w="28" w:type="dxa"/>
              <w:left w:w="57" w:type="dxa"/>
              <w:bottom w:w="28" w:type="dxa"/>
              <w:right w:w="57" w:type="dxa"/>
            </w:tcMar>
            <w:vAlign w:val="center"/>
          </w:tcPr>
          <w:p w14:paraId="6E12BDF8" w14:textId="77777777" w:rsidR="0022795A" w:rsidRPr="00D118BA" w:rsidRDefault="0022795A" w:rsidP="001E0142">
            <w:pPr>
              <w:rPr>
                <w:sz w:val="20"/>
              </w:rPr>
            </w:pPr>
            <w:r w:rsidRPr="00D118BA">
              <w:rPr>
                <w:sz w:val="20"/>
              </w:rPr>
              <w:lastRenderedPageBreak/>
              <w:t>Description</w:t>
            </w:r>
          </w:p>
        </w:tc>
        <w:tc>
          <w:tcPr>
            <w:tcW w:w="6933" w:type="dxa"/>
            <w:shd w:val="clear" w:color="auto" w:fill="auto"/>
            <w:tcMar>
              <w:top w:w="28" w:type="dxa"/>
              <w:left w:w="57" w:type="dxa"/>
              <w:bottom w:w="28" w:type="dxa"/>
              <w:right w:w="57" w:type="dxa"/>
            </w:tcMar>
            <w:vAlign w:val="center"/>
          </w:tcPr>
          <w:p w14:paraId="600ECF40" w14:textId="77777777" w:rsidR="0022795A" w:rsidRPr="0022795A" w:rsidRDefault="0022795A" w:rsidP="001E0142">
            <w:pPr>
              <w:rPr>
                <w:sz w:val="20"/>
              </w:rPr>
            </w:pPr>
            <w:r w:rsidRPr="0022795A">
              <w:rPr>
                <w:bCs/>
                <w:sz w:val="20"/>
              </w:rPr>
              <w:t xml:space="preserve">Number of employees </w:t>
            </w:r>
            <w:r w:rsidR="00B71AA6">
              <w:rPr>
                <w:bCs/>
                <w:sz w:val="20"/>
              </w:rPr>
              <w:t xml:space="preserve">and jobs created </w:t>
            </w:r>
            <w:r w:rsidRPr="0022795A">
              <w:rPr>
                <w:bCs/>
                <w:sz w:val="20"/>
              </w:rPr>
              <w:t>in the project</w:t>
            </w:r>
          </w:p>
        </w:tc>
      </w:tr>
      <w:tr w:rsidR="0022795A" w:rsidRPr="000C7CA3" w14:paraId="50514605" w14:textId="77777777" w:rsidTr="001E0142">
        <w:trPr>
          <w:cantSplit/>
          <w:jc w:val="center"/>
        </w:trPr>
        <w:tc>
          <w:tcPr>
            <w:tcW w:w="2696" w:type="dxa"/>
            <w:shd w:val="clear" w:color="auto" w:fill="D9D9D9"/>
            <w:tcMar>
              <w:top w:w="28" w:type="dxa"/>
              <w:left w:w="57" w:type="dxa"/>
              <w:bottom w:w="28" w:type="dxa"/>
              <w:right w:w="57" w:type="dxa"/>
            </w:tcMar>
            <w:vAlign w:val="center"/>
          </w:tcPr>
          <w:p w14:paraId="12541953" w14:textId="77777777" w:rsidR="0022795A" w:rsidRPr="00D118BA" w:rsidRDefault="0022795A" w:rsidP="001E0142">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3F5C3B07" w14:textId="77777777" w:rsidR="0022795A" w:rsidRPr="0022795A" w:rsidRDefault="0022795A" w:rsidP="001E0142">
            <w:pPr>
              <w:rPr>
                <w:sz w:val="20"/>
              </w:rPr>
            </w:pPr>
            <w:r w:rsidRPr="0022795A">
              <w:rPr>
                <w:bCs/>
                <w:sz w:val="20"/>
              </w:rPr>
              <w:t>Employment records</w:t>
            </w:r>
          </w:p>
        </w:tc>
      </w:tr>
      <w:tr w:rsidR="0022795A" w:rsidRPr="000C7CA3" w14:paraId="46223CF2" w14:textId="77777777" w:rsidTr="001E0142">
        <w:trPr>
          <w:cantSplit/>
          <w:jc w:val="center"/>
        </w:trPr>
        <w:tc>
          <w:tcPr>
            <w:tcW w:w="2696" w:type="dxa"/>
            <w:shd w:val="clear" w:color="auto" w:fill="D9D9D9"/>
            <w:tcMar>
              <w:top w:w="28" w:type="dxa"/>
              <w:left w:w="57" w:type="dxa"/>
              <w:bottom w:w="28" w:type="dxa"/>
              <w:right w:w="57" w:type="dxa"/>
            </w:tcMar>
            <w:vAlign w:val="center"/>
          </w:tcPr>
          <w:p w14:paraId="58F81CC9" w14:textId="77777777" w:rsidR="0022795A" w:rsidRPr="00D118BA" w:rsidRDefault="0022795A" w:rsidP="001E0142">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4175253C" w14:textId="77777777" w:rsidR="0022795A" w:rsidRPr="0022795A" w:rsidRDefault="0022795A" w:rsidP="001E0142">
            <w:pPr>
              <w:rPr>
                <w:sz w:val="20"/>
              </w:rPr>
            </w:pPr>
            <w:r w:rsidRPr="0022795A">
              <w:rPr>
                <w:bCs/>
                <w:sz w:val="20"/>
              </w:rPr>
              <w:t>Not applicable, no effect on emission reduction calculations</w:t>
            </w:r>
          </w:p>
        </w:tc>
      </w:tr>
      <w:tr w:rsidR="0022795A" w:rsidRPr="000C7CA3" w14:paraId="7D701F26" w14:textId="77777777" w:rsidTr="001E0142">
        <w:trPr>
          <w:cantSplit/>
          <w:jc w:val="center"/>
        </w:trPr>
        <w:tc>
          <w:tcPr>
            <w:tcW w:w="2696" w:type="dxa"/>
            <w:shd w:val="clear" w:color="auto" w:fill="D9D9D9"/>
            <w:tcMar>
              <w:top w:w="28" w:type="dxa"/>
              <w:left w:w="57" w:type="dxa"/>
              <w:bottom w:w="28" w:type="dxa"/>
              <w:right w:w="57" w:type="dxa"/>
            </w:tcMar>
            <w:vAlign w:val="center"/>
          </w:tcPr>
          <w:p w14:paraId="2A88FB10" w14:textId="77777777" w:rsidR="0022795A" w:rsidRPr="00D118BA" w:rsidRDefault="0022795A" w:rsidP="001E0142">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641464E9" w14:textId="77777777" w:rsidR="0022795A" w:rsidRPr="0022795A" w:rsidRDefault="0022795A" w:rsidP="001E0142">
            <w:pPr>
              <w:rPr>
                <w:sz w:val="20"/>
              </w:rPr>
            </w:pPr>
            <w:r w:rsidRPr="0022795A">
              <w:rPr>
                <w:bCs/>
                <w:sz w:val="20"/>
                <w:lang w:val="en-US"/>
              </w:rPr>
              <w:t>Records will be kept of all employees and jobs created as part of the programme. Hard copies of employment contracts will be kept by VPA Implementers as evidence. Will include part-time work</w:t>
            </w:r>
          </w:p>
        </w:tc>
      </w:tr>
      <w:tr w:rsidR="0022795A" w:rsidRPr="000C7CA3" w14:paraId="003D57F1" w14:textId="77777777" w:rsidTr="001E0142">
        <w:trPr>
          <w:cantSplit/>
          <w:jc w:val="center"/>
        </w:trPr>
        <w:tc>
          <w:tcPr>
            <w:tcW w:w="2696" w:type="dxa"/>
            <w:shd w:val="clear" w:color="auto" w:fill="D9D9D9"/>
            <w:tcMar>
              <w:top w:w="28" w:type="dxa"/>
              <w:left w:w="57" w:type="dxa"/>
              <w:bottom w:w="28" w:type="dxa"/>
              <w:right w:w="57" w:type="dxa"/>
            </w:tcMar>
            <w:vAlign w:val="center"/>
          </w:tcPr>
          <w:p w14:paraId="5167F335" w14:textId="77777777" w:rsidR="0022795A" w:rsidRPr="00D118BA" w:rsidRDefault="0022795A" w:rsidP="001E0142">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1BEA2294" w14:textId="77777777" w:rsidR="0022795A" w:rsidRPr="0022795A" w:rsidRDefault="0022795A" w:rsidP="001E0142">
            <w:pPr>
              <w:rPr>
                <w:sz w:val="20"/>
              </w:rPr>
            </w:pPr>
            <w:r w:rsidRPr="0022795A">
              <w:rPr>
                <w:bCs/>
                <w:sz w:val="20"/>
              </w:rPr>
              <w:t>Annual</w:t>
            </w:r>
          </w:p>
        </w:tc>
      </w:tr>
      <w:tr w:rsidR="0022795A" w:rsidRPr="000C7CA3" w14:paraId="58EDDFDB" w14:textId="77777777" w:rsidTr="001E0142">
        <w:trPr>
          <w:cantSplit/>
          <w:jc w:val="center"/>
        </w:trPr>
        <w:tc>
          <w:tcPr>
            <w:tcW w:w="2696" w:type="dxa"/>
            <w:shd w:val="clear" w:color="auto" w:fill="D9D9D9"/>
            <w:tcMar>
              <w:top w:w="28" w:type="dxa"/>
              <w:left w:w="57" w:type="dxa"/>
              <w:bottom w:w="28" w:type="dxa"/>
              <w:right w:w="57" w:type="dxa"/>
            </w:tcMar>
            <w:vAlign w:val="center"/>
          </w:tcPr>
          <w:p w14:paraId="4C6379AA" w14:textId="77777777" w:rsidR="0022795A" w:rsidRPr="00D118BA" w:rsidRDefault="0022795A" w:rsidP="001E0142">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1F3F42AE" w14:textId="77777777" w:rsidR="0022795A" w:rsidRPr="0022795A" w:rsidRDefault="0022795A" w:rsidP="001E0142">
            <w:pPr>
              <w:rPr>
                <w:sz w:val="20"/>
              </w:rPr>
            </w:pPr>
            <w:r w:rsidRPr="0022795A">
              <w:rPr>
                <w:bCs/>
                <w:sz w:val="20"/>
              </w:rPr>
              <w:t>N/A</w:t>
            </w:r>
          </w:p>
        </w:tc>
      </w:tr>
      <w:tr w:rsidR="0022795A" w:rsidRPr="000C7CA3" w14:paraId="3E6DD364" w14:textId="77777777" w:rsidTr="001E0142">
        <w:trPr>
          <w:cantSplit/>
          <w:jc w:val="center"/>
        </w:trPr>
        <w:tc>
          <w:tcPr>
            <w:tcW w:w="2696" w:type="dxa"/>
            <w:shd w:val="clear" w:color="auto" w:fill="D9D9D9"/>
            <w:tcMar>
              <w:top w:w="28" w:type="dxa"/>
              <w:left w:w="57" w:type="dxa"/>
              <w:bottom w:w="28" w:type="dxa"/>
              <w:right w:w="57" w:type="dxa"/>
            </w:tcMar>
            <w:vAlign w:val="center"/>
          </w:tcPr>
          <w:p w14:paraId="38B1BBD0" w14:textId="77777777" w:rsidR="0022795A" w:rsidRPr="00D118BA" w:rsidRDefault="0022795A" w:rsidP="001E0142">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157ED995" w14:textId="77777777" w:rsidR="0022795A" w:rsidRPr="0022795A" w:rsidRDefault="0022795A" w:rsidP="001E0142">
            <w:pPr>
              <w:rPr>
                <w:sz w:val="20"/>
              </w:rPr>
            </w:pPr>
            <w:r w:rsidRPr="0022795A">
              <w:rPr>
                <w:bCs/>
                <w:sz w:val="20"/>
              </w:rPr>
              <w:t>Monitoring of sustainable development benefits</w:t>
            </w:r>
          </w:p>
        </w:tc>
      </w:tr>
      <w:tr w:rsidR="0022795A" w:rsidRPr="000C7CA3" w14:paraId="64C219AF" w14:textId="77777777" w:rsidTr="001E0142">
        <w:trPr>
          <w:cantSplit/>
          <w:jc w:val="center"/>
        </w:trPr>
        <w:tc>
          <w:tcPr>
            <w:tcW w:w="2696" w:type="dxa"/>
            <w:shd w:val="clear" w:color="auto" w:fill="D9D9D9"/>
            <w:tcMar>
              <w:top w:w="28" w:type="dxa"/>
              <w:left w:w="57" w:type="dxa"/>
              <w:bottom w:w="28" w:type="dxa"/>
              <w:right w:w="57" w:type="dxa"/>
            </w:tcMar>
            <w:vAlign w:val="center"/>
          </w:tcPr>
          <w:p w14:paraId="165367E4" w14:textId="77777777" w:rsidR="0022795A" w:rsidRPr="00D118BA" w:rsidRDefault="0022795A" w:rsidP="001E0142">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18C55106" w14:textId="77777777" w:rsidR="0022795A" w:rsidRPr="0022795A" w:rsidRDefault="0022795A" w:rsidP="001E0142">
            <w:pPr>
              <w:rPr>
                <w:sz w:val="20"/>
              </w:rPr>
            </w:pPr>
            <w:r w:rsidRPr="0022795A">
              <w:rPr>
                <w:bCs/>
                <w:sz w:val="20"/>
              </w:rPr>
              <w:t>N/A</w:t>
            </w:r>
          </w:p>
        </w:tc>
      </w:tr>
    </w:tbl>
    <w:p w14:paraId="05604BDC" w14:textId="77777777" w:rsidR="0022795A" w:rsidRDefault="0022795A" w:rsidP="003E0E9E">
      <w:pPr>
        <w:pStyle w:val="SDMPDDPoASubSection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2696"/>
        <w:gridCol w:w="6933"/>
      </w:tblGrid>
      <w:tr w:rsidR="0022795A" w:rsidRPr="000C7CA3" w14:paraId="6FFF0594" w14:textId="77777777" w:rsidTr="001E0142">
        <w:trPr>
          <w:cantSplit/>
          <w:jc w:val="center"/>
        </w:trPr>
        <w:tc>
          <w:tcPr>
            <w:tcW w:w="2696" w:type="dxa"/>
            <w:shd w:val="clear" w:color="auto" w:fill="D9D9D9"/>
            <w:tcMar>
              <w:top w:w="28" w:type="dxa"/>
              <w:left w:w="57" w:type="dxa"/>
              <w:bottom w:w="28" w:type="dxa"/>
              <w:right w:w="57" w:type="dxa"/>
            </w:tcMar>
            <w:vAlign w:val="center"/>
          </w:tcPr>
          <w:p w14:paraId="5A4ADF02" w14:textId="77777777" w:rsidR="0022795A" w:rsidRPr="00A76316" w:rsidRDefault="0022795A" w:rsidP="001E0142">
            <w:pPr>
              <w:rPr>
                <w:b/>
                <w:sz w:val="20"/>
              </w:rPr>
            </w:pPr>
            <w:r w:rsidRPr="00A76316">
              <w:rPr>
                <w:b/>
                <w:sz w:val="20"/>
              </w:rPr>
              <w:t>Data/Parameter</w:t>
            </w:r>
          </w:p>
        </w:tc>
        <w:tc>
          <w:tcPr>
            <w:tcW w:w="6933" w:type="dxa"/>
            <w:shd w:val="clear" w:color="auto" w:fill="auto"/>
            <w:tcMar>
              <w:top w:w="28" w:type="dxa"/>
              <w:left w:w="57" w:type="dxa"/>
              <w:bottom w:w="28" w:type="dxa"/>
              <w:right w:w="57" w:type="dxa"/>
            </w:tcMar>
            <w:vAlign w:val="center"/>
          </w:tcPr>
          <w:p w14:paraId="055A3063" w14:textId="77777777" w:rsidR="0022795A" w:rsidRPr="0022795A" w:rsidRDefault="0022795A" w:rsidP="001E0142">
            <w:pPr>
              <w:rPr>
                <w:sz w:val="20"/>
              </w:rPr>
            </w:pPr>
            <w:r w:rsidRPr="0022795A">
              <w:rPr>
                <w:b/>
                <w:bCs/>
                <w:sz w:val="20"/>
              </w:rPr>
              <w:t>GS-</w:t>
            </w:r>
            <w:r w:rsidR="00AD281C">
              <w:rPr>
                <w:b/>
                <w:bCs/>
                <w:sz w:val="20"/>
              </w:rPr>
              <w:t>07</w:t>
            </w:r>
            <w:r w:rsidRPr="0022795A">
              <w:rPr>
                <w:b/>
                <w:bCs/>
                <w:sz w:val="20"/>
              </w:rPr>
              <w:t xml:space="preserve"> Technology transfer and technological self-reliance</w:t>
            </w:r>
          </w:p>
        </w:tc>
      </w:tr>
      <w:tr w:rsidR="0022795A" w:rsidRPr="000C7CA3" w14:paraId="337623A8" w14:textId="77777777" w:rsidTr="001E0142">
        <w:trPr>
          <w:cantSplit/>
          <w:jc w:val="center"/>
        </w:trPr>
        <w:tc>
          <w:tcPr>
            <w:tcW w:w="2696" w:type="dxa"/>
            <w:shd w:val="clear" w:color="auto" w:fill="D9D9D9"/>
            <w:tcMar>
              <w:top w:w="28" w:type="dxa"/>
              <w:left w:w="57" w:type="dxa"/>
              <w:bottom w:w="28" w:type="dxa"/>
              <w:right w:w="57" w:type="dxa"/>
            </w:tcMar>
            <w:vAlign w:val="center"/>
          </w:tcPr>
          <w:p w14:paraId="2585E0C6" w14:textId="77777777" w:rsidR="0022795A" w:rsidRPr="00D118BA" w:rsidRDefault="0022795A" w:rsidP="001E0142">
            <w:pPr>
              <w:rPr>
                <w:sz w:val="20"/>
              </w:rPr>
            </w:pPr>
            <w:r>
              <w:rPr>
                <w:sz w:val="20"/>
              </w:rPr>
              <w:t>Data u</w:t>
            </w:r>
            <w:r w:rsidRPr="00D118BA">
              <w:rPr>
                <w:sz w:val="20"/>
              </w:rPr>
              <w:t>nit</w:t>
            </w:r>
          </w:p>
        </w:tc>
        <w:tc>
          <w:tcPr>
            <w:tcW w:w="6933" w:type="dxa"/>
            <w:shd w:val="clear" w:color="auto" w:fill="auto"/>
            <w:tcMar>
              <w:top w:w="28" w:type="dxa"/>
              <w:left w:w="57" w:type="dxa"/>
              <w:bottom w:w="28" w:type="dxa"/>
              <w:right w:w="57" w:type="dxa"/>
            </w:tcMar>
            <w:vAlign w:val="center"/>
          </w:tcPr>
          <w:p w14:paraId="1C0CD5E3" w14:textId="77777777" w:rsidR="0022795A" w:rsidRPr="0022795A" w:rsidRDefault="0022795A" w:rsidP="001E0142">
            <w:pPr>
              <w:rPr>
                <w:sz w:val="20"/>
              </w:rPr>
            </w:pPr>
            <w:r w:rsidRPr="0022795A">
              <w:rPr>
                <w:bCs/>
                <w:sz w:val="20"/>
              </w:rPr>
              <w:t>Number</w:t>
            </w:r>
          </w:p>
        </w:tc>
      </w:tr>
      <w:tr w:rsidR="0022795A" w:rsidRPr="000C7CA3" w14:paraId="4D3BCD4D" w14:textId="77777777" w:rsidTr="001E0142">
        <w:trPr>
          <w:cantSplit/>
          <w:jc w:val="center"/>
        </w:trPr>
        <w:tc>
          <w:tcPr>
            <w:tcW w:w="2696" w:type="dxa"/>
            <w:shd w:val="clear" w:color="auto" w:fill="D9D9D9"/>
            <w:tcMar>
              <w:top w:w="28" w:type="dxa"/>
              <w:left w:w="57" w:type="dxa"/>
              <w:bottom w:w="28" w:type="dxa"/>
              <w:right w:w="57" w:type="dxa"/>
            </w:tcMar>
            <w:vAlign w:val="center"/>
          </w:tcPr>
          <w:p w14:paraId="5642B4BA" w14:textId="77777777" w:rsidR="0022795A" w:rsidRPr="00D118BA" w:rsidRDefault="0022795A" w:rsidP="001E0142">
            <w:pPr>
              <w:rPr>
                <w:sz w:val="20"/>
              </w:rPr>
            </w:pPr>
            <w:r w:rsidRPr="00D118BA">
              <w:rPr>
                <w:sz w:val="20"/>
              </w:rPr>
              <w:t>Description</w:t>
            </w:r>
          </w:p>
        </w:tc>
        <w:tc>
          <w:tcPr>
            <w:tcW w:w="6933" w:type="dxa"/>
            <w:shd w:val="clear" w:color="auto" w:fill="auto"/>
            <w:tcMar>
              <w:top w:w="28" w:type="dxa"/>
              <w:left w:w="57" w:type="dxa"/>
              <w:bottom w:w="28" w:type="dxa"/>
              <w:right w:w="57" w:type="dxa"/>
            </w:tcMar>
            <w:vAlign w:val="center"/>
          </w:tcPr>
          <w:p w14:paraId="581C3576" w14:textId="77777777" w:rsidR="0022795A" w:rsidRPr="0022795A" w:rsidRDefault="0022795A" w:rsidP="001E0142">
            <w:pPr>
              <w:rPr>
                <w:sz w:val="20"/>
              </w:rPr>
            </w:pPr>
            <w:r w:rsidRPr="0022795A">
              <w:rPr>
                <w:bCs/>
                <w:sz w:val="20"/>
              </w:rPr>
              <w:t>Number of employees attending training programmes</w:t>
            </w:r>
          </w:p>
        </w:tc>
      </w:tr>
      <w:tr w:rsidR="0022795A" w:rsidRPr="000C7CA3" w14:paraId="686B9DDE" w14:textId="77777777" w:rsidTr="001E0142">
        <w:trPr>
          <w:cantSplit/>
          <w:jc w:val="center"/>
        </w:trPr>
        <w:tc>
          <w:tcPr>
            <w:tcW w:w="2696" w:type="dxa"/>
            <w:shd w:val="clear" w:color="auto" w:fill="D9D9D9"/>
            <w:tcMar>
              <w:top w:w="28" w:type="dxa"/>
              <w:left w:w="57" w:type="dxa"/>
              <w:bottom w:w="28" w:type="dxa"/>
              <w:right w:w="57" w:type="dxa"/>
            </w:tcMar>
            <w:vAlign w:val="center"/>
          </w:tcPr>
          <w:p w14:paraId="0A3FF039" w14:textId="77777777" w:rsidR="0022795A" w:rsidRPr="00D118BA" w:rsidRDefault="0022795A" w:rsidP="001E0142">
            <w:pPr>
              <w:rPr>
                <w:sz w:val="20"/>
              </w:rPr>
            </w:pPr>
            <w:r w:rsidRPr="00D118BA">
              <w:rPr>
                <w:sz w:val="20"/>
              </w:rPr>
              <w:t>Source of data</w:t>
            </w:r>
          </w:p>
        </w:tc>
        <w:tc>
          <w:tcPr>
            <w:tcW w:w="6933" w:type="dxa"/>
            <w:shd w:val="clear" w:color="auto" w:fill="auto"/>
            <w:tcMar>
              <w:top w:w="28" w:type="dxa"/>
              <w:left w:w="57" w:type="dxa"/>
              <w:bottom w:w="28" w:type="dxa"/>
              <w:right w:w="57" w:type="dxa"/>
            </w:tcMar>
            <w:vAlign w:val="center"/>
          </w:tcPr>
          <w:p w14:paraId="51EF67BD" w14:textId="77777777" w:rsidR="0022795A" w:rsidRPr="0022795A" w:rsidRDefault="0022795A" w:rsidP="001E0142">
            <w:pPr>
              <w:rPr>
                <w:sz w:val="20"/>
              </w:rPr>
            </w:pPr>
            <w:r w:rsidRPr="0022795A">
              <w:rPr>
                <w:bCs/>
                <w:sz w:val="20"/>
              </w:rPr>
              <w:t>Electronic Project Database</w:t>
            </w:r>
          </w:p>
        </w:tc>
      </w:tr>
      <w:tr w:rsidR="0022795A" w:rsidRPr="000C7CA3" w14:paraId="6579D255" w14:textId="77777777" w:rsidTr="001E0142">
        <w:trPr>
          <w:cantSplit/>
          <w:jc w:val="center"/>
        </w:trPr>
        <w:tc>
          <w:tcPr>
            <w:tcW w:w="2696" w:type="dxa"/>
            <w:shd w:val="clear" w:color="auto" w:fill="D9D9D9"/>
            <w:tcMar>
              <w:top w:w="28" w:type="dxa"/>
              <w:left w:w="57" w:type="dxa"/>
              <w:bottom w:w="28" w:type="dxa"/>
              <w:right w:w="57" w:type="dxa"/>
            </w:tcMar>
            <w:vAlign w:val="center"/>
          </w:tcPr>
          <w:p w14:paraId="0394302F" w14:textId="77777777" w:rsidR="0022795A" w:rsidRPr="00D118BA" w:rsidRDefault="0022795A" w:rsidP="001E0142">
            <w:pPr>
              <w:rPr>
                <w:sz w:val="20"/>
              </w:rPr>
            </w:pPr>
            <w:r w:rsidRPr="00D118BA">
              <w:rPr>
                <w:rFonts w:hint="eastAsia"/>
                <w:sz w:val="20"/>
              </w:rPr>
              <w:t>Value</w:t>
            </w:r>
            <w:r w:rsidRPr="00D118BA">
              <w:rPr>
                <w:sz w:val="20"/>
              </w:rPr>
              <w:t>(s)</w:t>
            </w:r>
            <w:r w:rsidRPr="00D118BA">
              <w:rPr>
                <w:rFonts w:hint="eastAsia"/>
                <w:sz w:val="20"/>
              </w:rPr>
              <w:t xml:space="preserve"> applied</w:t>
            </w:r>
          </w:p>
        </w:tc>
        <w:tc>
          <w:tcPr>
            <w:tcW w:w="6933" w:type="dxa"/>
            <w:shd w:val="clear" w:color="auto" w:fill="auto"/>
            <w:tcMar>
              <w:top w:w="28" w:type="dxa"/>
              <w:left w:w="57" w:type="dxa"/>
              <w:bottom w:w="28" w:type="dxa"/>
              <w:right w:w="57" w:type="dxa"/>
            </w:tcMar>
            <w:vAlign w:val="center"/>
          </w:tcPr>
          <w:p w14:paraId="67092914" w14:textId="77777777" w:rsidR="0022795A" w:rsidRPr="0022795A" w:rsidRDefault="0022795A" w:rsidP="001E0142">
            <w:pPr>
              <w:rPr>
                <w:sz w:val="20"/>
              </w:rPr>
            </w:pPr>
            <w:r w:rsidRPr="0022795A">
              <w:rPr>
                <w:bCs/>
                <w:sz w:val="20"/>
              </w:rPr>
              <w:t>Not applicable, no effect on emission reduction calculations</w:t>
            </w:r>
          </w:p>
        </w:tc>
      </w:tr>
      <w:tr w:rsidR="0022795A" w:rsidRPr="000C7CA3" w14:paraId="5CD0A0DF" w14:textId="77777777" w:rsidTr="001E0142">
        <w:trPr>
          <w:cantSplit/>
          <w:jc w:val="center"/>
        </w:trPr>
        <w:tc>
          <w:tcPr>
            <w:tcW w:w="2696" w:type="dxa"/>
            <w:shd w:val="clear" w:color="auto" w:fill="D9D9D9"/>
            <w:tcMar>
              <w:top w:w="28" w:type="dxa"/>
              <w:left w:w="57" w:type="dxa"/>
              <w:bottom w:w="28" w:type="dxa"/>
              <w:right w:w="57" w:type="dxa"/>
            </w:tcMar>
            <w:vAlign w:val="center"/>
          </w:tcPr>
          <w:p w14:paraId="0D870091" w14:textId="77777777" w:rsidR="0022795A" w:rsidRPr="00D118BA" w:rsidRDefault="0022795A" w:rsidP="001E0142">
            <w:pPr>
              <w:jc w:val="left"/>
              <w:rPr>
                <w:sz w:val="20"/>
              </w:rPr>
            </w:pPr>
            <w:r w:rsidRPr="00D118BA">
              <w:rPr>
                <w:sz w:val="20"/>
              </w:rPr>
              <w:t>Measurement methods and procedures</w:t>
            </w:r>
          </w:p>
        </w:tc>
        <w:tc>
          <w:tcPr>
            <w:tcW w:w="6933" w:type="dxa"/>
            <w:shd w:val="clear" w:color="auto" w:fill="auto"/>
            <w:tcMar>
              <w:top w:w="28" w:type="dxa"/>
              <w:left w:w="57" w:type="dxa"/>
              <w:bottom w:w="28" w:type="dxa"/>
              <w:right w:w="57" w:type="dxa"/>
            </w:tcMar>
            <w:vAlign w:val="center"/>
          </w:tcPr>
          <w:p w14:paraId="0F2D6D8E" w14:textId="77777777" w:rsidR="0022795A" w:rsidRPr="0022795A" w:rsidRDefault="0022795A" w:rsidP="001E0142">
            <w:pPr>
              <w:rPr>
                <w:sz w:val="20"/>
              </w:rPr>
            </w:pPr>
            <w:r w:rsidRPr="0022795A">
              <w:rPr>
                <w:bCs/>
                <w:sz w:val="20"/>
              </w:rPr>
              <w:t>All vocational training attendees will be issued with a certificate proving their attendance, and a record of their names, contact details and gender, will be kept as part of the CME’s consolidated monitoring database. This will be updated as and when trainings are conducted.</w:t>
            </w:r>
          </w:p>
        </w:tc>
      </w:tr>
      <w:tr w:rsidR="0022795A" w:rsidRPr="000C7CA3" w14:paraId="17163297" w14:textId="77777777" w:rsidTr="001E0142">
        <w:trPr>
          <w:cantSplit/>
          <w:jc w:val="center"/>
        </w:trPr>
        <w:tc>
          <w:tcPr>
            <w:tcW w:w="2696" w:type="dxa"/>
            <w:shd w:val="clear" w:color="auto" w:fill="D9D9D9"/>
            <w:tcMar>
              <w:top w:w="28" w:type="dxa"/>
              <w:left w:w="57" w:type="dxa"/>
              <w:bottom w:w="28" w:type="dxa"/>
              <w:right w:w="57" w:type="dxa"/>
            </w:tcMar>
            <w:vAlign w:val="center"/>
          </w:tcPr>
          <w:p w14:paraId="4AB8855F" w14:textId="77777777" w:rsidR="0022795A" w:rsidRPr="00D118BA" w:rsidRDefault="0022795A" w:rsidP="001E0142">
            <w:pPr>
              <w:rPr>
                <w:sz w:val="20"/>
              </w:rPr>
            </w:pPr>
            <w:r w:rsidRPr="00D118BA">
              <w:rPr>
                <w:sz w:val="20"/>
              </w:rPr>
              <w:t>Monitoring frequency</w:t>
            </w:r>
          </w:p>
        </w:tc>
        <w:tc>
          <w:tcPr>
            <w:tcW w:w="6933" w:type="dxa"/>
            <w:shd w:val="clear" w:color="auto" w:fill="auto"/>
            <w:tcMar>
              <w:top w:w="28" w:type="dxa"/>
              <w:left w:w="57" w:type="dxa"/>
              <w:bottom w:w="28" w:type="dxa"/>
              <w:right w:w="57" w:type="dxa"/>
            </w:tcMar>
            <w:vAlign w:val="center"/>
          </w:tcPr>
          <w:p w14:paraId="23E158BE" w14:textId="77777777" w:rsidR="0022795A" w:rsidRPr="0022795A" w:rsidRDefault="0022795A" w:rsidP="001E0142">
            <w:pPr>
              <w:rPr>
                <w:sz w:val="20"/>
              </w:rPr>
            </w:pPr>
            <w:r w:rsidRPr="0022795A">
              <w:rPr>
                <w:bCs/>
                <w:sz w:val="20"/>
              </w:rPr>
              <w:t>Annual</w:t>
            </w:r>
          </w:p>
        </w:tc>
      </w:tr>
      <w:tr w:rsidR="0022795A" w:rsidRPr="000C7CA3" w14:paraId="17AAD839" w14:textId="77777777" w:rsidTr="001E0142">
        <w:trPr>
          <w:cantSplit/>
          <w:jc w:val="center"/>
        </w:trPr>
        <w:tc>
          <w:tcPr>
            <w:tcW w:w="2696" w:type="dxa"/>
            <w:shd w:val="clear" w:color="auto" w:fill="D9D9D9"/>
            <w:tcMar>
              <w:top w:w="28" w:type="dxa"/>
              <w:left w:w="57" w:type="dxa"/>
              <w:bottom w:w="28" w:type="dxa"/>
              <w:right w:w="57" w:type="dxa"/>
            </w:tcMar>
            <w:vAlign w:val="center"/>
          </w:tcPr>
          <w:p w14:paraId="499F7BDC" w14:textId="77777777" w:rsidR="0022795A" w:rsidRPr="00D118BA" w:rsidRDefault="0022795A" w:rsidP="001E0142">
            <w:pPr>
              <w:rPr>
                <w:sz w:val="20"/>
              </w:rPr>
            </w:pPr>
            <w:r w:rsidRPr="00D118BA">
              <w:rPr>
                <w:sz w:val="20"/>
              </w:rPr>
              <w:t>QA/QC procedures</w:t>
            </w:r>
          </w:p>
        </w:tc>
        <w:tc>
          <w:tcPr>
            <w:tcW w:w="6933" w:type="dxa"/>
            <w:shd w:val="clear" w:color="auto" w:fill="auto"/>
            <w:tcMar>
              <w:top w:w="28" w:type="dxa"/>
              <w:left w:w="57" w:type="dxa"/>
              <w:bottom w:w="28" w:type="dxa"/>
              <w:right w:w="57" w:type="dxa"/>
            </w:tcMar>
            <w:vAlign w:val="center"/>
          </w:tcPr>
          <w:p w14:paraId="065F78D3" w14:textId="77777777" w:rsidR="0022795A" w:rsidRPr="0022795A" w:rsidRDefault="0022795A" w:rsidP="001E0142">
            <w:pPr>
              <w:rPr>
                <w:sz w:val="20"/>
              </w:rPr>
            </w:pPr>
            <w:r w:rsidRPr="0022795A">
              <w:rPr>
                <w:bCs/>
                <w:sz w:val="20"/>
              </w:rPr>
              <w:t>N/A</w:t>
            </w:r>
          </w:p>
        </w:tc>
      </w:tr>
      <w:tr w:rsidR="0022795A" w:rsidRPr="000C7CA3" w14:paraId="4461B5C9" w14:textId="77777777" w:rsidTr="001E0142">
        <w:trPr>
          <w:cantSplit/>
          <w:jc w:val="center"/>
        </w:trPr>
        <w:tc>
          <w:tcPr>
            <w:tcW w:w="2696" w:type="dxa"/>
            <w:shd w:val="clear" w:color="auto" w:fill="D9D9D9"/>
            <w:tcMar>
              <w:top w:w="28" w:type="dxa"/>
              <w:left w:w="57" w:type="dxa"/>
              <w:bottom w:w="28" w:type="dxa"/>
              <w:right w:w="57" w:type="dxa"/>
            </w:tcMar>
            <w:vAlign w:val="center"/>
          </w:tcPr>
          <w:p w14:paraId="1035C492" w14:textId="77777777" w:rsidR="0022795A" w:rsidRPr="00D118BA" w:rsidRDefault="0022795A" w:rsidP="001E0142">
            <w:pPr>
              <w:rPr>
                <w:sz w:val="20"/>
              </w:rPr>
            </w:pPr>
            <w:r w:rsidRPr="00D118BA">
              <w:rPr>
                <w:sz w:val="20"/>
              </w:rPr>
              <w:t>Purpose of data</w:t>
            </w:r>
          </w:p>
        </w:tc>
        <w:tc>
          <w:tcPr>
            <w:tcW w:w="6933" w:type="dxa"/>
            <w:shd w:val="clear" w:color="auto" w:fill="auto"/>
            <w:tcMar>
              <w:top w:w="28" w:type="dxa"/>
              <w:left w:w="57" w:type="dxa"/>
              <w:bottom w:w="28" w:type="dxa"/>
              <w:right w:w="57" w:type="dxa"/>
            </w:tcMar>
            <w:vAlign w:val="center"/>
          </w:tcPr>
          <w:p w14:paraId="79C2E1EA" w14:textId="77777777" w:rsidR="0022795A" w:rsidRPr="0022795A" w:rsidRDefault="0022795A" w:rsidP="001E0142">
            <w:pPr>
              <w:rPr>
                <w:sz w:val="20"/>
              </w:rPr>
            </w:pPr>
            <w:r w:rsidRPr="0022795A">
              <w:rPr>
                <w:bCs/>
                <w:sz w:val="20"/>
              </w:rPr>
              <w:t>Monitoring of sustainable development benefits</w:t>
            </w:r>
          </w:p>
        </w:tc>
      </w:tr>
      <w:tr w:rsidR="0022795A" w:rsidRPr="000C7CA3" w14:paraId="4ECABA71" w14:textId="77777777" w:rsidTr="001E0142">
        <w:trPr>
          <w:cantSplit/>
          <w:jc w:val="center"/>
        </w:trPr>
        <w:tc>
          <w:tcPr>
            <w:tcW w:w="2696" w:type="dxa"/>
            <w:shd w:val="clear" w:color="auto" w:fill="D9D9D9"/>
            <w:tcMar>
              <w:top w:w="28" w:type="dxa"/>
              <w:left w:w="57" w:type="dxa"/>
              <w:bottom w:w="28" w:type="dxa"/>
              <w:right w:w="57" w:type="dxa"/>
            </w:tcMar>
            <w:vAlign w:val="center"/>
          </w:tcPr>
          <w:p w14:paraId="7387A985" w14:textId="77777777" w:rsidR="0022795A" w:rsidRPr="00D118BA" w:rsidRDefault="0022795A" w:rsidP="001E0142">
            <w:pPr>
              <w:rPr>
                <w:sz w:val="20"/>
              </w:rPr>
            </w:pPr>
            <w:r w:rsidRPr="00D118BA">
              <w:rPr>
                <w:sz w:val="20"/>
              </w:rPr>
              <w:t>Additional comment</w:t>
            </w:r>
          </w:p>
        </w:tc>
        <w:tc>
          <w:tcPr>
            <w:tcW w:w="6933" w:type="dxa"/>
            <w:shd w:val="clear" w:color="auto" w:fill="auto"/>
            <w:tcMar>
              <w:top w:w="28" w:type="dxa"/>
              <w:left w:w="57" w:type="dxa"/>
              <w:bottom w:w="28" w:type="dxa"/>
              <w:right w:w="57" w:type="dxa"/>
            </w:tcMar>
            <w:vAlign w:val="center"/>
          </w:tcPr>
          <w:p w14:paraId="367F5ACA" w14:textId="77777777" w:rsidR="0022795A" w:rsidRPr="0022795A" w:rsidRDefault="0022795A" w:rsidP="001E0142">
            <w:pPr>
              <w:rPr>
                <w:sz w:val="20"/>
              </w:rPr>
            </w:pPr>
            <w:r w:rsidRPr="0022795A">
              <w:rPr>
                <w:bCs/>
                <w:sz w:val="20"/>
              </w:rPr>
              <w:t>N/A</w:t>
            </w:r>
          </w:p>
        </w:tc>
      </w:tr>
    </w:tbl>
    <w:p w14:paraId="525F70B1" w14:textId="77777777" w:rsidR="0022795A" w:rsidRDefault="0022795A" w:rsidP="003E0E9E">
      <w:pPr>
        <w:pStyle w:val="SDMPDDPoASubSection1"/>
      </w:pPr>
    </w:p>
    <w:p w14:paraId="327328DE" w14:textId="77777777" w:rsidR="000978C2" w:rsidRDefault="008140F8" w:rsidP="001E0142">
      <w:pPr>
        <w:pStyle w:val="SDMPDDPoASubSection1"/>
        <w:numPr>
          <w:ilvl w:val="2"/>
          <w:numId w:val="30"/>
        </w:numPr>
      </w:pPr>
      <w:r>
        <w:t>Sampling</w:t>
      </w:r>
      <w:r w:rsidR="000978C2" w:rsidRPr="000C7CA3">
        <w:t xml:space="preserve"> plan</w:t>
      </w:r>
    </w:p>
    <w:p w14:paraId="06F39C14" w14:textId="77777777" w:rsidR="00AF5D60" w:rsidRDefault="00AF5D60" w:rsidP="0089085E">
      <w:pPr>
        <w:pStyle w:val="SDMPDDPoASubSection1"/>
        <w:spacing w:before="0" w:after="0"/>
        <w:rPr>
          <w:b w:val="0"/>
        </w:rPr>
      </w:pPr>
      <w:r w:rsidRPr="00DD4252">
        <w:rPr>
          <w:b w:val="0"/>
        </w:rPr>
        <w:t>&gt;&gt;</w:t>
      </w:r>
    </w:p>
    <w:p w14:paraId="4AB74D0F" w14:textId="77777777" w:rsidR="0093628B" w:rsidRPr="0093628B" w:rsidRDefault="0093628B" w:rsidP="0093628B">
      <w:pPr>
        <w:pStyle w:val="SDMPDDPoASubSection1"/>
        <w:spacing w:before="0" w:after="0"/>
        <w:rPr>
          <w:b w:val="0"/>
        </w:rPr>
      </w:pPr>
      <w:r w:rsidRPr="0093628B">
        <w:rPr>
          <w:b w:val="0"/>
        </w:rPr>
        <w:t>The data collection will follow the standard “Sampling and surveys for CDM project activities and programme of activities</w:t>
      </w:r>
      <w:r w:rsidR="00C153CF">
        <w:rPr>
          <w:b w:val="0"/>
        </w:rPr>
        <w:t xml:space="preserve"> (Version 07</w:t>
      </w:r>
      <w:r w:rsidRPr="0093628B">
        <w:rPr>
          <w:b w:val="0"/>
        </w:rPr>
        <w:t>)"</w:t>
      </w:r>
      <w:r w:rsidRPr="0093628B">
        <w:rPr>
          <w:b w:val="0"/>
          <w:vertAlign w:val="superscript"/>
        </w:rPr>
        <w:footnoteReference w:id="33"/>
      </w:r>
      <w:r w:rsidRPr="0093628B">
        <w:rPr>
          <w:b w:val="0"/>
        </w:rPr>
        <w:t xml:space="preserve">. </w:t>
      </w:r>
    </w:p>
    <w:p w14:paraId="75140F37" w14:textId="77777777" w:rsidR="0093628B" w:rsidRDefault="0093628B" w:rsidP="0093628B">
      <w:pPr>
        <w:pStyle w:val="SDMPDDPoASubSection1"/>
        <w:spacing w:before="0" w:after="0"/>
      </w:pPr>
    </w:p>
    <w:p w14:paraId="1D9897DC" w14:textId="77777777" w:rsidR="003750E0" w:rsidRPr="0093628B" w:rsidRDefault="003750E0" w:rsidP="0093628B">
      <w:pPr>
        <w:pStyle w:val="SDMPDDPoASubSection1"/>
        <w:spacing w:before="0" w:after="0"/>
        <w:rPr>
          <w:b w:val="0"/>
          <w:bCs/>
          <w:i/>
        </w:rPr>
      </w:pPr>
      <w:r w:rsidRPr="0093628B">
        <w:rPr>
          <w:b w:val="0"/>
          <w:bCs/>
          <w:i/>
        </w:rPr>
        <w:t>Objectives and reliability requirements</w:t>
      </w:r>
    </w:p>
    <w:p w14:paraId="0206958A" w14:textId="77777777" w:rsidR="003750E0" w:rsidRDefault="003750E0" w:rsidP="003750E0">
      <w:pPr>
        <w:rPr>
          <w:rFonts w:cs="Arial"/>
          <w:bCs/>
          <w:lang w:val="en-US"/>
        </w:rPr>
      </w:pPr>
      <w:r>
        <w:rPr>
          <w:rFonts w:cs="Arial"/>
          <w:bCs/>
        </w:rPr>
        <w:t>The objective of the sampling effort is to meet the monitoring requirements set forth in the methodology ‘</w:t>
      </w:r>
      <w:r>
        <w:rPr>
          <w:rFonts w:cs="Arial"/>
          <w:bCs/>
          <w:i/>
        </w:rPr>
        <w:t>Technologies and Practices to Displace Decentralized Thermal Energy Consumption’</w:t>
      </w:r>
      <w:r>
        <w:rPr>
          <w:rFonts w:cs="Arial"/>
          <w:bCs/>
        </w:rPr>
        <w:t>. Monitoring will be carried out on an annual basis, with those parameters that can be monitored on a biennial basis monitored once every two years.</w:t>
      </w:r>
    </w:p>
    <w:p w14:paraId="51A36E9A" w14:textId="77777777" w:rsidR="003750E0" w:rsidRDefault="003750E0" w:rsidP="003750E0">
      <w:pPr>
        <w:rPr>
          <w:rFonts w:cs="Arial"/>
          <w:bCs/>
          <w:i/>
        </w:rPr>
      </w:pPr>
    </w:p>
    <w:p w14:paraId="05D6EEE1" w14:textId="77777777" w:rsidR="003750E0" w:rsidRDefault="003750E0" w:rsidP="003750E0">
      <w:pPr>
        <w:rPr>
          <w:rFonts w:cs="Arial"/>
          <w:bCs/>
          <w:i/>
        </w:rPr>
      </w:pPr>
      <w:r>
        <w:rPr>
          <w:rFonts w:cs="Arial"/>
          <w:bCs/>
          <w:i/>
        </w:rPr>
        <w:t>Target population</w:t>
      </w:r>
    </w:p>
    <w:p w14:paraId="2196EB8E" w14:textId="77777777" w:rsidR="003750E0" w:rsidRDefault="003750E0" w:rsidP="003750E0">
      <w:pPr>
        <w:rPr>
          <w:rFonts w:cs="Arial"/>
          <w:bCs/>
          <w:i/>
        </w:rPr>
      </w:pPr>
      <w:r>
        <w:rPr>
          <w:rFonts w:cs="Arial"/>
          <w:bCs/>
        </w:rPr>
        <w:t xml:space="preserve">The target population for the application of monitoring procedure is the households, local communities and SMEs with installed biodigesters, as identified through the Project Database managed by the CME. </w:t>
      </w:r>
    </w:p>
    <w:p w14:paraId="35D77ACE" w14:textId="77777777" w:rsidR="003750E0" w:rsidRDefault="003750E0" w:rsidP="003750E0">
      <w:pPr>
        <w:rPr>
          <w:rFonts w:cs="Arial"/>
          <w:bCs/>
          <w:i/>
        </w:rPr>
      </w:pPr>
    </w:p>
    <w:p w14:paraId="268F10F9" w14:textId="77777777" w:rsidR="003750E0" w:rsidRDefault="003750E0" w:rsidP="003750E0">
      <w:pPr>
        <w:rPr>
          <w:rFonts w:cs="Arial"/>
          <w:bCs/>
          <w:i/>
        </w:rPr>
      </w:pPr>
      <w:r>
        <w:rPr>
          <w:rFonts w:cs="Arial"/>
          <w:bCs/>
          <w:i/>
        </w:rPr>
        <w:t>Sampling method</w:t>
      </w:r>
    </w:p>
    <w:p w14:paraId="598AD5A8" w14:textId="77777777" w:rsidR="003750E0" w:rsidRDefault="007174E0" w:rsidP="003750E0">
      <w:pPr>
        <w:rPr>
          <w:rFonts w:cs="Arial"/>
          <w:bCs/>
          <w:lang w:val="en-US"/>
        </w:rPr>
      </w:pPr>
      <w:r>
        <w:rPr>
          <w:rFonts w:cs="Arial"/>
          <w:bCs/>
        </w:rPr>
        <w:t>KBP</w:t>
      </w:r>
      <w:r w:rsidR="004745B6">
        <w:rPr>
          <w:rFonts w:cs="Arial"/>
          <w:bCs/>
        </w:rPr>
        <w:t xml:space="preserve">, with support from </w:t>
      </w:r>
      <w:r w:rsidR="00AD281C">
        <w:rPr>
          <w:rFonts w:cs="Arial"/>
          <w:bCs/>
        </w:rPr>
        <w:t>Hivos</w:t>
      </w:r>
      <w:r w:rsidR="003750E0">
        <w:rPr>
          <w:rFonts w:cs="Arial"/>
          <w:bCs/>
        </w:rPr>
        <w:t xml:space="preserve">, is responsible for the production of periodical monitoring reports for each VPA. </w:t>
      </w:r>
      <w:r w:rsidR="003750E0">
        <w:rPr>
          <w:rFonts w:cs="Arial"/>
          <w:bCs/>
          <w:lang w:val="en-US"/>
        </w:rPr>
        <w:t xml:space="preserve">Multi-stage sampling will be applied within the </w:t>
      </w:r>
      <w:r w:rsidR="00AD281C">
        <w:rPr>
          <w:rFonts w:cs="Arial"/>
          <w:bCs/>
          <w:lang w:val="en-US"/>
        </w:rPr>
        <w:t>PoA</w:t>
      </w:r>
      <w:r w:rsidR="003750E0">
        <w:rPr>
          <w:rFonts w:cs="Arial"/>
          <w:bCs/>
          <w:lang w:val="en-US"/>
        </w:rPr>
        <w:t xml:space="preserve">, where clusters consist of regions and the subunits (biogas digesters) within them. It is more cost effective to monitor several subunits within each region. In order to account for the fact that not all regions have the same number of biogas digesters commissioned, sampling will be employed proportionate to cluster size. Clusters will be selected with a probability proportionate to the size of the target population within each cluster such </w:t>
      </w:r>
      <w:r w:rsidR="003750E0">
        <w:rPr>
          <w:rFonts w:cs="Arial"/>
          <w:bCs/>
          <w:lang w:val="en-US"/>
        </w:rPr>
        <w:lastRenderedPageBreak/>
        <w:t xml:space="preserve">that larger clusters have a greater probability of selection, and smaller clusters a lower probability. This helps to ensure that sampling remains representative of the entire population. </w:t>
      </w:r>
    </w:p>
    <w:p w14:paraId="3E336686" w14:textId="77777777" w:rsidR="003750E0" w:rsidRDefault="003750E0" w:rsidP="003750E0">
      <w:pPr>
        <w:rPr>
          <w:rFonts w:cs="Arial"/>
          <w:bCs/>
        </w:rPr>
      </w:pPr>
    </w:p>
    <w:p w14:paraId="54F0EA03" w14:textId="77777777" w:rsidR="003750E0" w:rsidRDefault="003750E0" w:rsidP="003750E0">
      <w:pPr>
        <w:rPr>
          <w:rFonts w:cs="Arial"/>
          <w:bCs/>
          <w:i/>
        </w:rPr>
      </w:pPr>
      <w:r>
        <w:rPr>
          <w:rFonts w:cs="Arial"/>
          <w:bCs/>
          <w:i/>
        </w:rPr>
        <w:t>Sample size</w:t>
      </w:r>
    </w:p>
    <w:p w14:paraId="394E4BEF" w14:textId="77777777" w:rsidR="003750E0" w:rsidRDefault="003750E0" w:rsidP="003750E0">
      <w:pPr>
        <w:rPr>
          <w:rFonts w:cs="Arial"/>
          <w:bCs/>
        </w:rPr>
      </w:pPr>
      <w:r>
        <w:rPr>
          <w:rFonts w:cs="Arial"/>
          <w:bCs/>
        </w:rPr>
        <w:t xml:space="preserve">In order to combine monitoring with an assessment of the drop-off rate of usage (which requires that digesters of different age groups are assessed), monitoring should be carried out on a random sample of digesters of different ages. The minimum total sample size is 100, with at least 30 samples for biogas digesters of each age bracket (measured in annual increments) being surveyed. </w:t>
      </w:r>
      <w:r w:rsidR="00AD281C">
        <w:rPr>
          <w:rFonts w:cs="Arial"/>
          <w:bCs/>
        </w:rPr>
        <w:t xml:space="preserve">Alternatively, </w:t>
      </w:r>
      <w:r w:rsidR="00663595">
        <w:rPr>
          <w:rFonts w:cs="Arial"/>
          <w:bCs/>
        </w:rPr>
        <w:t xml:space="preserve">the </w:t>
      </w:r>
      <w:r w:rsidR="00AD281C">
        <w:rPr>
          <w:rFonts w:cs="Arial"/>
          <w:bCs/>
        </w:rPr>
        <w:t>monitoring</w:t>
      </w:r>
      <w:r w:rsidR="00663595">
        <w:rPr>
          <w:rFonts w:cs="Arial"/>
          <w:bCs/>
        </w:rPr>
        <w:t xml:space="preserve"> survey and usage rate survey sample groups can be selected separately, s</w:t>
      </w:r>
      <w:r w:rsidR="00AD281C">
        <w:rPr>
          <w:rFonts w:cs="Arial"/>
          <w:bCs/>
        </w:rPr>
        <w:t>uch that at least 100 biogas digester users are surveyed for the monitoring survey</w:t>
      </w:r>
      <w:r w:rsidR="00663595">
        <w:rPr>
          <w:rFonts w:cs="Arial"/>
          <w:bCs/>
        </w:rPr>
        <w:t>, and at least 30 biogas digester users within each age group of digesters are surveyed.</w:t>
      </w:r>
    </w:p>
    <w:p w14:paraId="0BC3D74F" w14:textId="77777777" w:rsidR="003750E0" w:rsidRDefault="003750E0" w:rsidP="003750E0">
      <w:pPr>
        <w:pStyle w:val="SDMPDDPoASubSection2"/>
        <w:rPr>
          <w:b w:val="0"/>
          <w:bCs/>
          <w:szCs w:val="22"/>
        </w:rPr>
      </w:pPr>
      <w:r>
        <w:rPr>
          <w:b w:val="0"/>
          <w:bCs/>
          <w:szCs w:val="22"/>
        </w:rPr>
        <w:t>To determine the average fuel savings as per the Kitchen Performance Test</w:t>
      </w:r>
      <w:r w:rsidR="00AD281C">
        <w:rPr>
          <w:b w:val="0"/>
          <w:bCs/>
          <w:szCs w:val="22"/>
        </w:rPr>
        <w:t xml:space="preserve"> (ie. the Project Field Test)</w:t>
      </w:r>
      <w:r>
        <w:rPr>
          <w:b w:val="0"/>
          <w:bCs/>
          <w:szCs w:val="22"/>
        </w:rPr>
        <w:t>, the sample size shall be determined through ensuring that the results comply with a 90</w:t>
      </w:r>
      <w:r w:rsidR="00AD281C">
        <w:rPr>
          <w:b w:val="0"/>
          <w:bCs/>
          <w:szCs w:val="22"/>
        </w:rPr>
        <w:t xml:space="preserve">% confidence interval and </w:t>
      </w:r>
      <w:r>
        <w:rPr>
          <w:b w:val="0"/>
          <w:bCs/>
          <w:szCs w:val="22"/>
        </w:rPr>
        <w:t>30</w:t>
      </w:r>
      <w:r w:rsidR="00AD281C">
        <w:rPr>
          <w:b w:val="0"/>
          <w:bCs/>
          <w:szCs w:val="22"/>
        </w:rPr>
        <w:t>% margin of error</w:t>
      </w:r>
      <w:r>
        <w:rPr>
          <w:b w:val="0"/>
          <w:bCs/>
          <w:szCs w:val="22"/>
        </w:rPr>
        <w:t>, as per Annex 4 of the applied methodology.</w:t>
      </w:r>
    </w:p>
    <w:p w14:paraId="7327B01D" w14:textId="77777777" w:rsidR="003750E0" w:rsidRDefault="003750E0" w:rsidP="003750E0">
      <w:pPr>
        <w:rPr>
          <w:rFonts w:cs="Arial"/>
          <w:bCs/>
        </w:rPr>
      </w:pPr>
    </w:p>
    <w:p w14:paraId="549C2E23" w14:textId="77777777" w:rsidR="003750E0" w:rsidRDefault="003750E0" w:rsidP="003750E0">
      <w:pPr>
        <w:rPr>
          <w:rFonts w:cs="Arial"/>
          <w:bCs/>
        </w:rPr>
      </w:pPr>
      <w:r>
        <w:rPr>
          <w:rFonts w:cs="Arial"/>
          <w:bCs/>
        </w:rPr>
        <w:t>For more details on the sample size determination, refer to Section B.7.2 of the PoA-DD.</w:t>
      </w:r>
    </w:p>
    <w:p w14:paraId="06A2DA3F" w14:textId="77777777" w:rsidR="003750E0" w:rsidRDefault="003750E0" w:rsidP="003750E0">
      <w:pPr>
        <w:rPr>
          <w:rFonts w:cs="Arial"/>
          <w:bCs/>
          <w:i/>
        </w:rPr>
      </w:pPr>
    </w:p>
    <w:p w14:paraId="309B5B16" w14:textId="77777777" w:rsidR="003750E0" w:rsidRDefault="003750E0" w:rsidP="003750E0">
      <w:pPr>
        <w:rPr>
          <w:rFonts w:cs="Arial"/>
          <w:bCs/>
          <w:i/>
        </w:rPr>
      </w:pPr>
      <w:r>
        <w:rPr>
          <w:rFonts w:cs="Arial"/>
          <w:bCs/>
          <w:i/>
        </w:rPr>
        <w:t>Sampling frame</w:t>
      </w:r>
    </w:p>
    <w:p w14:paraId="5302174F" w14:textId="77777777" w:rsidR="003750E0" w:rsidRDefault="003750E0" w:rsidP="003750E0">
      <w:pPr>
        <w:rPr>
          <w:rFonts w:cs="Arial"/>
          <w:bCs/>
        </w:rPr>
      </w:pPr>
      <w:r>
        <w:rPr>
          <w:rFonts w:cs="Arial"/>
          <w:bCs/>
        </w:rPr>
        <w:t xml:space="preserve">The sampling frame shall be defined based on the information in the Project Database, which outlines the location of each biogas digester and the number installed in each geographical region. The sample selection consists of two stages: the first step considers the larger sample units (country regions) whilst the second step involves randomly selecting biogas digesters to be monitored within these units. </w:t>
      </w:r>
    </w:p>
    <w:p w14:paraId="12451402" w14:textId="77777777" w:rsidR="00AF5D60" w:rsidRDefault="00AF5D60" w:rsidP="0018377C"/>
    <w:p w14:paraId="7F1D5030" w14:textId="77777777" w:rsidR="00AF5D60" w:rsidRPr="000C7CA3" w:rsidRDefault="00AF5D60" w:rsidP="001E0142">
      <w:pPr>
        <w:pStyle w:val="SDMPDDPoASubSection1"/>
        <w:numPr>
          <w:ilvl w:val="2"/>
          <w:numId w:val="30"/>
        </w:numPr>
      </w:pPr>
      <w:r>
        <w:t>Other elements of monitoring plan</w:t>
      </w:r>
    </w:p>
    <w:p w14:paraId="229A3BDF" w14:textId="77777777" w:rsidR="005E608C" w:rsidRDefault="005E608C" w:rsidP="00336916">
      <w:pPr>
        <w:rPr>
          <w:rFonts w:cs="Arial"/>
          <w:lang w:eastAsia="en-US"/>
        </w:rPr>
      </w:pPr>
      <w:r w:rsidRPr="000C7CA3">
        <w:rPr>
          <w:rFonts w:cs="Arial"/>
          <w:lang w:eastAsia="en-US"/>
        </w:rPr>
        <w:t>&gt;&gt;</w:t>
      </w:r>
    </w:p>
    <w:p w14:paraId="11F7AC5C" w14:textId="77777777" w:rsidR="003750E0" w:rsidRDefault="001C601D" w:rsidP="003750E0">
      <w:pPr>
        <w:rPr>
          <w:rFonts w:cs="Arial"/>
          <w:bCs/>
          <w:i/>
        </w:rPr>
      </w:pPr>
      <w:r>
        <w:rPr>
          <w:rFonts w:cs="Arial"/>
          <w:bCs/>
          <w:i/>
        </w:rPr>
        <w:t>Data collection: f</w:t>
      </w:r>
      <w:r w:rsidR="003750E0">
        <w:rPr>
          <w:rFonts w:cs="Arial"/>
          <w:bCs/>
          <w:i/>
        </w:rPr>
        <w:t>ield measurements</w:t>
      </w:r>
    </w:p>
    <w:p w14:paraId="659C10CC" w14:textId="77777777" w:rsidR="003750E0" w:rsidRDefault="007174E0" w:rsidP="003750E0">
      <w:pPr>
        <w:rPr>
          <w:rFonts w:cs="Arial"/>
          <w:bCs/>
        </w:rPr>
      </w:pPr>
      <w:r>
        <w:rPr>
          <w:rFonts w:cs="Arial"/>
        </w:rPr>
        <w:t xml:space="preserve">KBP </w:t>
      </w:r>
      <w:r w:rsidR="003750E0">
        <w:rPr>
          <w:rFonts w:cs="Arial"/>
        </w:rPr>
        <w:t xml:space="preserve">will collect the data necessary for the monitoring and for the emission reductions calculation. </w:t>
      </w:r>
      <w:r w:rsidR="003750E0">
        <w:rPr>
          <w:rFonts w:cs="Arial"/>
          <w:bCs/>
        </w:rPr>
        <w:t>Field measurements and data to be collected are listed in section B.5.1 above. To account for seasonal fluctuations, monitoring of fuel wood consumption (KPT) should by preference be carried out during the dry season. This ensures conservativeness since during this season less wood is needed for cooking purposes as the wood fuel, the primary fuel for cooking purposes of most households, contains less moisture. Seasonality does not impact usage rate of other fuels such as LPG and kerosene. Measurements conducted during the dry season can therefore be assumed to be conservative. In case monitoring of fuel wood consumption is not taking place during the dry season moisture meters should be used.</w:t>
      </w:r>
    </w:p>
    <w:p w14:paraId="2F3D57F9" w14:textId="77777777" w:rsidR="003750E0" w:rsidRDefault="003750E0" w:rsidP="003750E0">
      <w:pPr>
        <w:rPr>
          <w:rFonts w:cs="Arial"/>
          <w:bCs/>
        </w:rPr>
      </w:pPr>
    </w:p>
    <w:p w14:paraId="5F64BA94" w14:textId="77777777" w:rsidR="003750E0" w:rsidRDefault="003750E0" w:rsidP="003750E0">
      <w:pPr>
        <w:rPr>
          <w:rFonts w:cs="Arial"/>
          <w:bCs/>
        </w:rPr>
      </w:pPr>
      <w:r>
        <w:rPr>
          <w:rFonts w:cs="Arial"/>
          <w:bCs/>
        </w:rPr>
        <w:t>The parameters to be monitored within VPA006, as outlined in the applied methodology, will be collected through a Monitoring Survey. This shall be completed periodically and covers the following data:</w:t>
      </w:r>
    </w:p>
    <w:p w14:paraId="3656B8C7" w14:textId="77777777" w:rsidR="003750E0" w:rsidRDefault="003750E0" w:rsidP="001E0142">
      <w:pPr>
        <w:numPr>
          <w:ilvl w:val="0"/>
          <w:numId w:val="38"/>
        </w:numPr>
        <w:rPr>
          <w:rFonts w:cs="Arial"/>
          <w:bCs/>
        </w:rPr>
      </w:pPr>
      <w:r>
        <w:rPr>
          <w:rFonts w:cs="Arial"/>
          <w:bCs/>
        </w:rPr>
        <w:t>Number of users applying the final biodigester slurry on agricultural fields;</w:t>
      </w:r>
    </w:p>
    <w:p w14:paraId="37FB6B2F" w14:textId="77777777" w:rsidR="003750E0" w:rsidRDefault="003750E0" w:rsidP="001E0142">
      <w:pPr>
        <w:numPr>
          <w:ilvl w:val="0"/>
          <w:numId w:val="38"/>
        </w:numPr>
        <w:rPr>
          <w:rFonts w:cs="Arial"/>
          <w:bCs/>
        </w:rPr>
      </w:pPr>
      <w:r>
        <w:rPr>
          <w:rFonts w:cs="Arial"/>
          <w:bCs/>
        </w:rPr>
        <w:t>Perceived improvement of living conditions;</w:t>
      </w:r>
    </w:p>
    <w:p w14:paraId="434BA917" w14:textId="77777777" w:rsidR="003750E0" w:rsidRDefault="003750E0" w:rsidP="001E0142">
      <w:pPr>
        <w:numPr>
          <w:ilvl w:val="0"/>
          <w:numId w:val="38"/>
        </w:numPr>
        <w:rPr>
          <w:rFonts w:cs="Arial"/>
          <w:bCs/>
        </w:rPr>
      </w:pPr>
      <w:r>
        <w:rPr>
          <w:rFonts w:cs="Arial"/>
          <w:bCs/>
        </w:rPr>
        <w:t xml:space="preserve">Number of individuals attending trainings; </w:t>
      </w:r>
    </w:p>
    <w:p w14:paraId="48A2A7FA" w14:textId="77777777" w:rsidR="003750E0" w:rsidRDefault="003750E0" w:rsidP="001E0142">
      <w:pPr>
        <w:numPr>
          <w:ilvl w:val="0"/>
          <w:numId w:val="38"/>
        </w:numPr>
        <w:rPr>
          <w:rFonts w:cs="Arial"/>
          <w:bCs/>
        </w:rPr>
      </w:pPr>
      <w:r>
        <w:rPr>
          <w:rFonts w:cs="Arial"/>
          <w:bCs/>
          <w:lang w:val="en-US"/>
        </w:rPr>
        <w:t>Percentage of biodigester in use in the given year (y).</w:t>
      </w:r>
    </w:p>
    <w:p w14:paraId="23130CBF" w14:textId="77777777" w:rsidR="003750E0" w:rsidRDefault="003750E0" w:rsidP="001E0142">
      <w:pPr>
        <w:numPr>
          <w:ilvl w:val="0"/>
          <w:numId w:val="38"/>
        </w:numPr>
        <w:rPr>
          <w:rFonts w:cs="Arial"/>
          <w:bCs/>
        </w:rPr>
      </w:pPr>
      <w:r>
        <w:rPr>
          <w:rFonts w:cs="Arial"/>
          <w:bCs/>
        </w:rPr>
        <w:t>The number of operational days of the biodigesters in the given year (y).</w:t>
      </w:r>
    </w:p>
    <w:p w14:paraId="2CDCB695" w14:textId="77777777" w:rsidR="003750E0" w:rsidRDefault="003750E0" w:rsidP="001E0142">
      <w:pPr>
        <w:numPr>
          <w:ilvl w:val="0"/>
          <w:numId w:val="38"/>
        </w:numPr>
        <w:rPr>
          <w:rFonts w:cs="Arial"/>
          <w:bCs/>
        </w:rPr>
      </w:pPr>
      <w:r>
        <w:rPr>
          <w:rFonts w:cs="Arial"/>
          <w:bCs/>
        </w:rPr>
        <w:t>The fraction of manure that is not treated in the biodigester.</w:t>
      </w:r>
    </w:p>
    <w:p w14:paraId="2A5538A3" w14:textId="77777777" w:rsidR="003750E0" w:rsidRDefault="003750E0" w:rsidP="001E0142">
      <w:pPr>
        <w:pStyle w:val="SDMPDDPoASubSection2"/>
        <w:numPr>
          <w:ilvl w:val="0"/>
          <w:numId w:val="38"/>
        </w:numPr>
        <w:tabs>
          <w:tab w:val="left" w:pos="720"/>
        </w:tabs>
        <w:spacing w:before="0"/>
        <w:rPr>
          <w:b w:val="0"/>
          <w:bCs/>
          <w:szCs w:val="22"/>
        </w:rPr>
      </w:pPr>
      <w:r>
        <w:rPr>
          <w:b w:val="0"/>
          <w:bCs/>
          <w:szCs w:val="22"/>
        </w:rPr>
        <w:t>Ratio of households falling in separate baseline fuel scenarios.</w:t>
      </w:r>
    </w:p>
    <w:p w14:paraId="226A9C22" w14:textId="77777777" w:rsidR="003750E0" w:rsidRDefault="003750E0" w:rsidP="001E0142">
      <w:pPr>
        <w:numPr>
          <w:ilvl w:val="0"/>
          <w:numId w:val="38"/>
        </w:numPr>
        <w:rPr>
          <w:rFonts w:cs="Arial"/>
          <w:bCs/>
        </w:rPr>
      </w:pPr>
      <w:r>
        <w:rPr>
          <w:rFonts w:cs="Arial"/>
          <w:bCs/>
        </w:rPr>
        <w:t>Continued use of baseline stoves</w:t>
      </w:r>
      <w:r w:rsidR="00663595">
        <w:rPr>
          <w:rFonts w:cs="Arial"/>
          <w:bCs/>
        </w:rPr>
        <w:t>: b</w:t>
      </w:r>
      <w:r>
        <w:rPr>
          <w:rFonts w:cs="Arial"/>
          <w:bCs/>
        </w:rPr>
        <w:t xml:space="preserve">iogas digester users will be asked to confirm whether they use their baseline stove in addition to (or instead of) their biogas digester, and if so, how often they use it. </w:t>
      </w:r>
    </w:p>
    <w:p w14:paraId="6EF492CD" w14:textId="77777777" w:rsidR="003750E0" w:rsidRPr="00663595" w:rsidRDefault="003750E0">
      <w:pPr>
        <w:numPr>
          <w:ilvl w:val="0"/>
          <w:numId w:val="38"/>
        </w:numPr>
        <w:rPr>
          <w:rFonts w:cs="Arial"/>
          <w:bCs/>
        </w:rPr>
      </w:pPr>
      <w:r>
        <w:rPr>
          <w:rFonts w:cs="Arial"/>
          <w:bCs/>
          <w:lang w:val="en-US"/>
        </w:rPr>
        <w:t xml:space="preserve">Quantity of biomass and fossil fuel that is used for cooking in a given project scenario in a given year (y) – </w:t>
      </w:r>
      <w:r>
        <w:rPr>
          <w:rFonts w:cs="Arial"/>
          <w:bCs/>
        </w:rPr>
        <w:t>once every two years</w:t>
      </w:r>
      <w:r>
        <w:rPr>
          <w:rFonts w:cs="Arial"/>
          <w:bCs/>
          <w:lang w:val="en-US"/>
        </w:rPr>
        <w:t>;</w:t>
      </w:r>
    </w:p>
    <w:p w14:paraId="37B0A322" w14:textId="77777777" w:rsidR="003750E0" w:rsidRDefault="003750E0" w:rsidP="003750E0">
      <w:pPr>
        <w:rPr>
          <w:rFonts w:cs="Arial"/>
          <w:bCs/>
        </w:rPr>
      </w:pPr>
    </w:p>
    <w:p w14:paraId="0E6F0F1E" w14:textId="77777777" w:rsidR="003750E0" w:rsidRDefault="003750E0" w:rsidP="003750E0">
      <w:pPr>
        <w:rPr>
          <w:rFonts w:cs="Arial"/>
          <w:bCs/>
        </w:rPr>
      </w:pPr>
      <w:r>
        <w:rPr>
          <w:rFonts w:cs="Arial"/>
          <w:bCs/>
        </w:rPr>
        <w:lastRenderedPageBreak/>
        <w:t>The application of bioslurry shall be monitored according to the applied methodology. If there is any anaerobic use/storage of bioslurry under anaerobic conditions reported from the monitoring survey, project emissions shall be accounted for accordingly. The following approach shall be followed:</w:t>
      </w:r>
    </w:p>
    <w:p w14:paraId="55A3BB7A" w14:textId="77777777" w:rsidR="003750E0" w:rsidRDefault="003750E0" w:rsidP="001E0142">
      <w:pPr>
        <w:numPr>
          <w:ilvl w:val="0"/>
          <w:numId w:val="39"/>
        </w:numPr>
        <w:rPr>
          <w:rFonts w:cs="Arial"/>
          <w:bCs/>
        </w:rPr>
      </w:pPr>
      <w:r>
        <w:rPr>
          <w:rFonts w:cs="Arial"/>
          <w:bCs/>
        </w:rPr>
        <w:t>Estimation of the total amount of VS entering the biodigester;</w:t>
      </w:r>
    </w:p>
    <w:p w14:paraId="055C1F66" w14:textId="77777777" w:rsidR="003750E0" w:rsidRDefault="003750E0" w:rsidP="001E0142">
      <w:pPr>
        <w:numPr>
          <w:ilvl w:val="0"/>
          <w:numId w:val="39"/>
        </w:numPr>
        <w:rPr>
          <w:rFonts w:cs="Arial"/>
          <w:bCs/>
        </w:rPr>
      </w:pPr>
      <w:r>
        <w:rPr>
          <w:rFonts w:cs="Arial"/>
          <w:bCs/>
        </w:rPr>
        <w:t>Assessment of remaining VS content of digestate;</w:t>
      </w:r>
    </w:p>
    <w:p w14:paraId="3A2D4AFF" w14:textId="77777777" w:rsidR="003750E0" w:rsidRDefault="003750E0" w:rsidP="001E0142">
      <w:pPr>
        <w:numPr>
          <w:ilvl w:val="0"/>
          <w:numId w:val="39"/>
        </w:numPr>
        <w:rPr>
          <w:rFonts w:cs="Arial"/>
          <w:bCs/>
        </w:rPr>
      </w:pPr>
      <w:r>
        <w:rPr>
          <w:rFonts w:cs="Arial"/>
          <w:bCs/>
        </w:rPr>
        <w:t>Assessment of methane potential of bio-slurry;</w:t>
      </w:r>
    </w:p>
    <w:p w14:paraId="76A2E24A" w14:textId="77777777" w:rsidR="003750E0" w:rsidRDefault="003750E0" w:rsidP="001E0142">
      <w:pPr>
        <w:numPr>
          <w:ilvl w:val="0"/>
          <w:numId w:val="39"/>
        </w:numPr>
        <w:rPr>
          <w:rFonts w:cs="Arial"/>
          <w:bCs/>
        </w:rPr>
      </w:pPr>
      <w:r>
        <w:rPr>
          <w:rFonts w:cs="Arial"/>
          <w:bCs/>
        </w:rPr>
        <w:t>MCF of the digestate management systems;</w:t>
      </w:r>
    </w:p>
    <w:p w14:paraId="61D01FED" w14:textId="77777777" w:rsidR="003750E0" w:rsidRDefault="003750E0" w:rsidP="001E0142">
      <w:pPr>
        <w:numPr>
          <w:ilvl w:val="0"/>
          <w:numId w:val="39"/>
        </w:numPr>
        <w:rPr>
          <w:rFonts w:cs="Arial"/>
          <w:bCs/>
        </w:rPr>
      </w:pPr>
      <w:r>
        <w:rPr>
          <w:rFonts w:cs="Arial"/>
          <w:bCs/>
        </w:rPr>
        <w:t>Calculation of project emissions using the information obtained in the previous steps.</w:t>
      </w:r>
    </w:p>
    <w:p w14:paraId="0865A86F" w14:textId="77777777" w:rsidR="003750E0" w:rsidRDefault="003750E0" w:rsidP="003750E0"/>
    <w:p w14:paraId="3EFB5BED" w14:textId="77777777" w:rsidR="003750E0" w:rsidRDefault="003750E0" w:rsidP="003750E0">
      <w:pPr>
        <w:rPr>
          <w:bCs/>
          <w:i/>
        </w:rPr>
      </w:pPr>
      <w:r>
        <w:rPr>
          <w:bCs/>
          <w:i/>
        </w:rPr>
        <w:t>Quality assurance/Quality control</w:t>
      </w:r>
    </w:p>
    <w:p w14:paraId="4C027661" w14:textId="77777777" w:rsidR="003750E0" w:rsidRDefault="003750E0" w:rsidP="003750E0">
      <w:r>
        <w:t xml:space="preserve">The CME will provide the necessary training to the VPA implementers and the parties involved in the monitoring to ensure that the data recorded is complete and accurate. The VPA Implementer, </w:t>
      </w:r>
      <w:r w:rsidR="00012F91">
        <w:rPr>
          <w:rFonts w:cs="Arial"/>
        </w:rPr>
        <w:t>KBP</w:t>
      </w:r>
      <w:r>
        <w:t xml:space="preserve">, will prepare data collection protocols to be given to the research assistants to guide them during the data collection exercise. </w:t>
      </w:r>
    </w:p>
    <w:p w14:paraId="15843491" w14:textId="77777777" w:rsidR="003750E0" w:rsidRDefault="003750E0" w:rsidP="003750E0"/>
    <w:p w14:paraId="0BE1638A" w14:textId="77777777" w:rsidR="003750E0" w:rsidRDefault="003750E0" w:rsidP="003750E0">
      <w:pPr>
        <w:rPr>
          <w:lang w:val="en-US"/>
        </w:rPr>
      </w:pPr>
      <w:r>
        <w:rPr>
          <w:lang w:val="en-US"/>
        </w:rPr>
        <w:t>Response rates will be maximized by sampling over the minimum required number to compensate for any non-responses.</w:t>
      </w:r>
      <w:r w:rsidR="00663595">
        <w:rPr>
          <w:lang w:val="en-US"/>
        </w:rPr>
        <w:t xml:space="preserve"> </w:t>
      </w:r>
      <w:r>
        <w:rPr>
          <w:lang w:val="en-US"/>
        </w:rPr>
        <w:t>In special cases where participants refuse to participate in the monitoring,</w:t>
      </w:r>
      <w:r w:rsidR="00663595">
        <w:rPr>
          <w:lang w:val="en-US"/>
        </w:rPr>
        <w:t xml:space="preserve"> t</w:t>
      </w:r>
      <w:r>
        <w:rPr>
          <w:lang w:val="en-US"/>
        </w:rPr>
        <w:t xml:space="preserve">he surveyor will explain that monitoring is part of the requirements of the programme and try to arrange an alternative date for a site visit, or carryout monitoring with another member of the households, community or SME. </w:t>
      </w:r>
    </w:p>
    <w:p w14:paraId="60B455D6" w14:textId="77777777" w:rsidR="003750E0" w:rsidRDefault="003750E0" w:rsidP="003750E0"/>
    <w:p w14:paraId="014DCF22" w14:textId="77777777" w:rsidR="003750E0" w:rsidRDefault="003750E0" w:rsidP="003750E0">
      <w:r>
        <w:t xml:space="preserve">Sales Agreements will be stored by the </w:t>
      </w:r>
      <w:r w:rsidR="00012F91">
        <w:rPr>
          <w:rFonts w:cs="Arial"/>
        </w:rPr>
        <w:t xml:space="preserve">KBP </w:t>
      </w:r>
      <w:r>
        <w:t xml:space="preserve">with copies sent to the CME, if requested. A back-up of the project database will also be stored on an electronic medium by the CME. All data monitored and required for verification and issuance will be kept for at least five years after the end of the crediting period or the last issuance of VERs for the project activity, whichever is later. </w:t>
      </w:r>
    </w:p>
    <w:p w14:paraId="210FFD68" w14:textId="77777777" w:rsidR="003750E0" w:rsidRDefault="003750E0" w:rsidP="003750E0">
      <w:pPr>
        <w:rPr>
          <w:bCs/>
          <w:i/>
        </w:rPr>
      </w:pPr>
    </w:p>
    <w:p w14:paraId="7D793F24" w14:textId="77777777" w:rsidR="003750E0" w:rsidRDefault="003750E0" w:rsidP="003750E0">
      <w:pPr>
        <w:rPr>
          <w:bCs/>
          <w:i/>
        </w:rPr>
      </w:pPr>
      <w:r>
        <w:rPr>
          <w:bCs/>
          <w:i/>
        </w:rPr>
        <w:t>Analysis</w:t>
      </w:r>
    </w:p>
    <w:p w14:paraId="2F7854E8" w14:textId="77777777" w:rsidR="003750E0" w:rsidRDefault="003750E0" w:rsidP="003750E0">
      <w:r>
        <w:t xml:space="preserve">All the sales data and the survey data will be captured in a computerised database. The analysis will include a calculation of the proportion of biogas system in use and of the emission reductions according to the methodology applied. </w:t>
      </w:r>
      <w:r w:rsidR="00663595">
        <w:t>For the Project Field Test, o</w:t>
      </w:r>
      <w:r>
        <w:t>utliers will be excluded using the Grubb’s Test.</w:t>
      </w:r>
      <w:r>
        <w:rPr>
          <w:vertAlign w:val="superscript"/>
        </w:rPr>
        <w:footnoteReference w:id="34"/>
      </w:r>
    </w:p>
    <w:p w14:paraId="365E1E13" w14:textId="77777777" w:rsidR="003750E0" w:rsidRDefault="003750E0" w:rsidP="003750E0">
      <w:pPr>
        <w:rPr>
          <w:b/>
          <w:bCs/>
        </w:rPr>
      </w:pPr>
    </w:p>
    <w:p w14:paraId="53B497EB" w14:textId="77777777" w:rsidR="003750E0" w:rsidRDefault="003750E0" w:rsidP="003750E0">
      <w:pPr>
        <w:rPr>
          <w:b/>
          <w:bCs/>
        </w:rPr>
      </w:pPr>
      <w:r>
        <w:rPr>
          <w:b/>
          <w:bCs/>
        </w:rPr>
        <w:t>Implementation plan</w:t>
      </w:r>
    </w:p>
    <w:p w14:paraId="5234E41E" w14:textId="77777777" w:rsidR="003750E0" w:rsidRDefault="003750E0" w:rsidP="003750E0">
      <w:pPr>
        <w:rPr>
          <w:bCs/>
        </w:rPr>
      </w:pPr>
    </w:p>
    <w:p w14:paraId="52203341" w14:textId="77777777" w:rsidR="003750E0" w:rsidRDefault="00012F91" w:rsidP="003750E0">
      <w:r>
        <w:rPr>
          <w:rFonts w:cs="Arial"/>
        </w:rPr>
        <w:t xml:space="preserve">KBP </w:t>
      </w:r>
      <w:r w:rsidR="003750E0">
        <w:t xml:space="preserve">will be responsible for the collection of all Sales Agreement data and the creation of the Monitoring Report at the end of each Monitoring Period. </w:t>
      </w:r>
      <w:r>
        <w:rPr>
          <w:rFonts w:cs="Arial"/>
        </w:rPr>
        <w:t xml:space="preserve">KBP </w:t>
      </w:r>
      <w:r w:rsidR="003750E0">
        <w:t>will also be responsible for entering user data into the Project Database and for ensuring that the information in the Sales Agreements is complete and correct. The total number of Sales Agreements will reveal the quantity of biogas systems sold at the end of a Monitoring Period. Appropriate record keeping procedures will be implemented to ensure that each Monitoring Period dataset can be transparently attributed to its corresponding VPA, preventing any occurrences of double counting.</w:t>
      </w:r>
    </w:p>
    <w:p w14:paraId="385B3515" w14:textId="77777777" w:rsidR="003750E0" w:rsidRDefault="003750E0" w:rsidP="003750E0">
      <w:pPr>
        <w:rPr>
          <w:bCs/>
          <w:i/>
        </w:rPr>
      </w:pPr>
    </w:p>
    <w:p w14:paraId="1E1032C2" w14:textId="77777777" w:rsidR="003750E0" w:rsidRDefault="003750E0" w:rsidP="003750E0">
      <w:pPr>
        <w:rPr>
          <w:bCs/>
          <w:i/>
        </w:rPr>
      </w:pPr>
      <w:r>
        <w:rPr>
          <w:bCs/>
          <w:i/>
        </w:rPr>
        <w:t>Monitoring Responsibilities</w:t>
      </w:r>
    </w:p>
    <w:p w14:paraId="6E7804EE" w14:textId="77777777" w:rsidR="003750E0" w:rsidRDefault="00012F91" w:rsidP="003750E0">
      <w:r>
        <w:rPr>
          <w:rFonts w:cs="Arial"/>
        </w:rPr>
        <w:t xml:space="preserve">KBP </w:t>
      </w:r>
      <w:r w:rsidR="003750E0">
        <w:t xml:space="preserve">is responsible for all the monitoring activities carried out within this VPA, including data collection, data monitoring, and writing the Monitoring Report. </w:t>
      </w:r>
    </w:p>
    <w:p w14:paraId="0D62111B" w14:textId="77777777" w:rsidR="003750E0" w:rsidRPr="000C7CA3" w:rsidRDefault="003750E0" w:rsidP="00336916">
      <w:pPr>
        <w:rPr>
          <w:rFonts w:cs="Arial"/>
          <w:lang w:eastAsia="en-US"/>
        </w:rPr>
      </w:pPr>
    </w:p>
    <w:p w14:paraId="0636E8FE" w14:textId="77777777" w:rsidR="005E608C" w:rsidRPr="000C7CA3" w:rsidRDefault="005E608C" w:rsidP="00336916">
      <w:pPr>
        <w:rPr>
          <w:rFonts w:cs="Arial"/>
          <w:lang w:eastAsia="en-US"/>
        </w:rPr>
      </w:pPr>
    </w:p>
    <w:p w14:paraId="039503E3" w14:textId="77777777" w:rsidR="00464B7C" w:rsidRDefault="00464B7C" w:rsidP="001E0142">
      <w:pPr>
        <w:pStyle w:val="SDMPDDPoASection"/>
        <w:numPr>
          <w:ilvl w:val="0"/>
          <w:numId w:val="30"/>
        </w:numPr>
        <w:tabs>
          <w:tab w:val="num" w:pos="2835"/>
        </w:tabs>
        <w:ind w:left="1729" w:hanging="1729"/>
      </w:pPr>
      <w:r>
        <w:lastRenderedPageBreak/>
        <w:t>Start date, crediting period type and duration</w:t>
      </w:r>
    </w:p>
    <w:p w14:paraId="06C2C401" w14:textId="77777777" w:rsidR="00464B7C" w:rsidRPr="000C7CA3" w:rsidRDefault="00464B7C" w:rsidP="001E0142">
      <w:pPr>
        <w:pStyle w:val="SDMPDDPoASubSection1"/>
        <w:numPr>
          <w:ilvl w:val="1"/>
          <w:numId w:val="30"/>
        </w:numPr>
      </w:pPr>
      <w:r w:rsidRPr="000C7CA3">
        <w:t xml:space="preserve">Start date of </w:t>
      </w:r>
      <w:r w:rsidR="006C4F9A">
        <w:t>VPA</w:t>
      </w:r>
    </w:p>
    <w:p w14:paraId="78E6181A" w14:textId="77777777" w:rsidR="00464B7C" w:rsidRPr="000C7CA3" w:rsidRDefault="00464B7C" w:rsidP="00464B7C">
      <w:pPr>
        <w:rPr>
          <w:rFonts w:cs="Arial"/>
          <w:lang w:eastAsia="en-US"/>
        </w:rPr>
      </w:pPr>
      <w:r w:rsidRPr="000C7CA3">
        <w:rPr>
          <w:rFonts w:cs="Arial"/>
          <w:lang w:eastAsia="en-US"/>
        </w:rPr>
        <w:t>&gt;&gt;</w:t>
      </w:r>
    </w:p>
    <w:p w14:paraId="2E379110" w14:textId="77777777" w:rsidR="00B80B7B" w:rsidRDefault="001C601D" w:rsidP="00464B7C">
      <w:pPr>
        <w:rPr>
          <w:rFonts w:cs="Arial"/>
          <w:lang w:eastAsia="en-US"/>
        </w:rPr>
      </w:pPr>
      <w:r>
        <w:rPr>
          <w:rFonts w:cs="Arial"/>
          <w:lang w:eastAsia="en-US"/>
        </w:rPr>
        <w:t>The start date</w:t>
      </w:r>
      <w:r w:rsidR="00260E84">
        <w:rPr>
          <w:rFonts w:cs="Arial"/>
          <w:lang w:eastAsia="en-US"/>
        </w:rPr>
        <w:t xml:space="preserve"> of the project is the earliest date at which either the implementation or construction or real action of a project begins. Therefore, the start date of VPA006 is </w:t>
      </w:r>
      <w:r w:rsidR="00012F91" w:rsidRPr="00012F91">
        <w:rPr>
          <w:rFonts w:cs="Arial"/>
          <w:lang w:eastAsia="en-US"/>
        </w:rPr>
        <w:t>01</w:t>
      </w:r>
      <w:r w:rsidR="00B4418A" w:rsidRPr="00012F91">
        <w:rPr>
          <w:rFonts w:cs="Arial"/>
          <w:lang w:eastAsia="en-US"/>
        </w:rPr>
        <w:t>/01</w:t>
      </w:r>
      <w:r w:rsidR="00B4418A">
        <w:rPr>
          <w:rFonts w:cs="Arial"/>
          <w:lang w:eastAsia="en-US"/>
        </w:rPr>
        <w:t xml:space="preserve">/2014, </w:t>
      </w:r>
      <w:r w:rsidR="00260E84">
        <w:rPr>
          <w:rFonts w:cs="Arial"/>
          <w:lang w:eastAsia="en-US"/>
        </w:rPr>
        <w:t>the day on which the first biogas digester was</w:t>
      </w:r>
      <w:r>
        <w:rPr>
          <w:rFonts w:cs="Arial"/>
          <w:lang w:eastAsia="en-US"/>
        </w:rPr>
        <w:t xml:space="preserve"> implemented under the </w:t>
      </w:r>
      <w:r w:rsidR="000E1266">
        <w:rPr>
          <w:rFonts w:cs="Arial"/>
          <w:lang w:eastAsia="en-US"/>
        </w:rPr>
        <w:t>VPA. Retroactive inclusion is pursued</w:t>
      </w:r>
      <w:r w:rsidR="00B4418A">
        <w:rPr>
          <w:rFonts w:cs="Arial"/>
          <w:lang w:eastAsia="en-US"/>
        </w:rPr>
        <w:t xml:space="preserve"> as permitted by the Gold Standard</w:t>
      </w:r>
      <w:r w:rsidR="000E1266">
        <w:rPr>
          <w:rFonts w:cs="Arial"/>
          <w:lang w:eastAsia="en-US"/>
        </w:rPr>
        <w:t>.</w:t>
      </w:r>
      <w:r w:rsidR="00B4418A">
        <w:rPr>
          <w:rStyle w:val="FootnoteReference"/>
          <w:rFonts w:cs="Arial"/>
          <w:lang w:eastAsia="en-US"/>
        </w:rPr>
        <w:footnoteReference w:id="35"/>
      </w:r>
      <w:r w:rsidR="000E1266">
        <w:rPr>
          <w:rFonts w:cs="Arial"/>
          <w:lang w:eastAsia="en-US"/>
        </w:rPr>
        <w:t xml:space="preserve"> </w:t>
      </w:r>
    </w:p>
    <w:p w14:paraId="24C4D0C8" w14:textId="77777777" w:rsidR="00260E84" w:rsidRDefault="00260E84" w:rsidP="00464B7C">
      <w:pPr>
        <w:rPr>
          <w:rFonts w:cs="Arial"/>
          <w:lang w:eastAsia="en-US"/>
        </w:rPr>
      </w:pPr>
    </w:p>
    <w:p w14:paraId="2D8A4473" w14:textId="77777777" w:rsidR="00464B7C" w:rsidRPr="000C7CA3" w:rsidRDefault="00464B7C" w:rsidP="001E0142">
      <w:pPr>
        <w:pStyle w:val="SDMPDDPoASubSection1"/>
        <w:numPr>
          <w:ilvl w:val="1"/>
          <w:numId w:val="30"/>
        </w:numPr>
      </w:pPr>
      <w:r w:rsidRPr="000C7CA3">
        <w:t xml:space="preserve">Expected operational lifetime of </w:t>
      </w:r>
      <w:r w:rsidR="006C4F9A">
        <w:t>VPA</w:t>
      </w:r>
    </w:p>
    <w:p w14:paraId="2C70C7AB" w14:textId="77777777" w:rsidR="00464B7C" w:rsidRPr="000C7CA3" w:rsidRDefault="00464B7C" w:rsidP="00464B7C">
      <w:pPr>
        <w:rPr>
          <w:rFonts w:cs="Arial"/>
          <w:lang w:eastAsia="en-US"/>
        </w:rPr>
      </w:pPr>
      <w:r w:rsidRPr="000C7CA3">
        <w:rPr>
          <w:rFonts w:cs="Arial"/>
          <w:lang w:eastAsia="en-US"/>
        </w:rPr>
        <w:t>&gt;&gt;</w:t>
      </w:r>
    </w:p>
    <w:p w14:paraId="7DA8C76E" w14:textId="77777777" w:rsidR="00464B7C" w:rsidRPr="000C7CA3" w:rsidRDefault="006971E6" w:rsidP="00464B7C">
      <w:pPr>
        <w:rPr>
          <w:rFonts w:cs="Arial"/>
          <w:lang w:eastAsia="en-US"/>
        </w:rPr>
      </w:pPr>
      <w:r>
        <w:rPr>
          <w:rFonts w:cs="Arial"/>
          <w:lang w:eastAsia="en-US"/>
        </w:rPr>
        <w:t>The expected operational lifetime of the VPA is the full duration of the crediting period, at 21 years. A well maintained fixed-dome biogas system has an operational lifetime of over 30 years</w:t>
      </w:r>
      <w:r w:rsidRPr="0003707C">
        <w:rPr>
          <w:rFonts w:cs="Arial"/>
          <w:vertAlign w:val="superscript"/>
        </w:rPr>
        <w:footnoteReference w:id="36"/>
      </w:r>
      <w:r>
        <w:rPr>
          <w:rFonts w:cs="Arial"/>
          <w:lang w:eastAsia="en-US"/>
        </w:rPr>
        <w:t xml:space="preserve">. This means that the systems should be operational beyond the potential crediting period of the VPA. </w:t>
      </w:r>
    </w:p>
    <w:p w14:paraId="4EF7BEC5" w14:textId="77777777" w:rsidR="00464B7C" w:rsidRPr="000C7CA3" w:rsidRDefault="00464B7C" w:rsidP="001E0142">
      <w:pPr>
        <w:pStyle w:val="SDMPDDPoASubSection1"/>
        <w:numPr>
          <w:ilvl w:val="1"/>
          <w:numId w:val="30"/>
        </w:numPr>
      </w:pPr>
      <w:r>
        <w:t>C</w:t>
      </w:r>
      <w:r w:rsidRPr="000C7CA3">
        <w:t xml:space="preserve">rediting period </w:t>
      </w:r>
      <w:r>
        <w:t xml:space="preserve">of </w:t>
      </w:r>
      <w:r w:rsidR="006C4F9A">
        <w:t>VPA</w:t>
      </w:r>
    </w:p>
    <w:p w14:paraId="115E767E" w14:textId="77777777" w:rsidR="00464B7C" w:rsidRDefault="00464B7C" w:rsidP="001E0142">
      <w:pPr>
        <w:pStyle w:val="SDMPDDPoASubSection1"/>
        <w:numPr>
          <w:ilvl w:val="2"/>
          <w:numId w:val="30"/>
        </w:numPr>
      </w:pPr>
      <w:r>
        <w:t>Type of crediting period</w:t>
      </w:r>
    </w:p>
    <w:p w14:paraId="6FF47AF7" w14:textId="77777777" w:rsidR="00464B7C" w:rsidRDefault="00AC509B" w:rsidP="00464B7C">
      <w:r>
        <w:t>&gt;&gt;</w:t>
      </w:r>
    </w:p>
    <w:p w14:paraId="111E429B" w14:textId="77777777" w:rsidR="00AC509B" w:rsidRDefault="00AC509B" w:rsidP="00464B7C">
      <w:r>
        <w:t>Renewable crediting period</w:t>
      </w:r>
      <w:r w:rsidR="006E2151">
        <w:t>.</w:t>
      </w:r>
    </w:p>
    <w:p w14:paraId="50EDE4F0" w14:textId="77777777" w:rsidR="00464B7C" w:rsidRPr="000C7CA3" w:rsidRDefault="00464B7C" w:rsidP="001E0142">
      <w:pPr>
        <w:pStyle w:val="SDMPDDPoASubSection1"/>
        <w:numPr>
          <w:ilvl w:val="2"/>
          <w:numId w:val="30"/>
        </w:numPr>
      </w:pPr>
      <w:r w:rsidRPr="000C7CA3">
        <w:t>Start date of crediting period</w:t>
      </w:r>
    </w:p>
    <w:p w14:paraId="5174A09B" w14:textId="77777777" w:rsidR="00464B7C" w:rsidRPr="000C7CA3" w:rsidRDefault="00464B7C" w:rsidP="00464B7C">
      <w:pPr>
        <w:rPr>
          <w:rFonts w:cs="Arial"/>
          <w:lang w:eastAsia="en-US"/>
        </w:rPr>
      </w:pPr>
      <w:r w:rsidRPr="000C7CA3">
        <w:rPr>
          <w:rFonts w:cs="Arial"/>
          <w:lang w:eastAsia="en-US"/>
        </w:rPr>
        <w:t>&gt;&gt;</w:t>
      </w:r>
    </w:p>
    <w:p w14:paraId="024236D9" w14:textId="77777777" w:rsidR="00576101" w:rsidRPr="00576101" w:rsidRDefault="00576101" w:rsidP="00576101">
      <w:pPr>
        <w:autoSpaceDE w:val="0"/>
        <w:autoSpaceDN w:val="0"/>
        <w:adjustRightInd w:val="0"/>
        <w:jc w:val="left"/>
        <w:rPr>
          <w:rFonts w:eastAsia="MS Mincho" w:cs="Arial"/>
          <w:szCs w:val="22"/>
          <w:lang w:eastAsia="nl-NL"/>
        </w:rPr>
      </w:pPr>
      <w:r w:rsidRPr="00576101">
        <w:rPr>
          <w:rFonts w:eastAsia="MS Mincho" w:cs="Arial"/>
          <w:szCs w:val="22"/>
          <w:lang w:eastAsia="nl-NL"/>
        </w:rPr>
        <w:t xml:space="preserve">The start date of </w:t>
      </w:r>
      <w:r w:rsidR="00012F91">
        <w:rPr>
          <w:rFonts w:eastAsia="MS Mincho" w:cs="Arial"/>
          <w:szCs w:val="22"/>
          <w:lang w:eastAsia="nl-NL"/>
        </w:rPr>
        <w:t>the crediting period is on 01/01</w:t>
      </w:r>
      <w:r w:rsidRPr="00576101">
        <w:rPr>
          <w:rFonts w:eastAsia="MS Mincho" w:cs="Arial"/>
          <w:szCs w:val="22"/>
          <w:lang w:eastAsia="nl-NL"/>
        </w:rPr>
        <w:t>/201</w:t>
      </w:r>
      <w:r w:rsidR="00012F91">
        <w:rPr>
          <w:rFonts w:eastAsia="MS Mincho" w:cs="Arial"/>
          <w:szCs w:val="22"/>
          <w:lang w:eastAsia="nl-NL"/>
        </w:rPr>
        <w:t>6</w:t>
      </w:r>
      <w:r w:rsidRPr="00576101">
        <w:rPr>
          <w:rFonts w:eastAsia="MS Mincho" w:cs="Arial"/>
          <w:szCs w:val="22"/>
          <w:lang w:eastAsia="nl-NL"/>
        </w:rPr>
        <w:t xml:space="preserve"> (estimated date) or 2 years prior to the end</w:t>
      </w:r>
      <w:r>
        <w:rPr>
          <w:rFonts w:eastAsia="MS Mincho" w:cs="Arial"/>
          <w:szCs w:val="22"/>
          <w:lang w:eastAsia="nl-NL"/>
        </w:rPr>
        <w:t xml:space="preserve"> date of the inclusion review period, whichever is later.</w:t>
      </w:r>
      <w:r>
        <w:rPr>
          <w:rStyle w:val="FootnoteReference"/>
          <w:rFonts w:eastAsia="MS Mincho" w:cs="Arial"/>
          <w:szCs w:val="22"/>
          <w:lang w:eastAsia="nl-NL"/>
        </w:rPr>
        <w:footnoteReference w:id="37"/>
      </w:r>
    </w:p>
    <w:p w14:paraId="413EE2D2" w14:textId="77777777" w:rsidR="00464B7C" w:rsidRPr="000C7CA3" w:rsidRDefault="00464B7C" w:rsidP="00576101">
      <w:pPr>
        <w:pStyle w:val="SDMPDDPoASubSection1"/>
        <w:numPr>
          <w:ilvl w:val="2"/>
          <w:numId w:val="30"/>
        </w:numPr>
      </w:pPr>
      <w:r>
        <w:t>Duration</w:t>
      </w:r>
      <w:r w:rsidRPr="000C7CA3">
        <w:t xml:space="preserve"> of crediting period</w:t>
      </w:r>
    </w:p>
    <w:p w14:paraId="249070C7" w14:textId="77777777" w:rsidR="00464B7C" w:rsidRDefault="00A76316" w:rsidP="001C6C4C">
      <w:pPr>
        <w:pStyle w:val="SDMPDDPoASection"/>
        <w:keepNext w:val="0"/>
        <w:keepLines w:val="0"/>
        <w:spacing w:before="0" w:after="0"/>
        <w:rPr>
          <w:b w:val="0"/>
          <w:sz w:val="22"/>
          <w:szCs w:val="22"/>
        </w:rPr>
      </w:pPr>
      <w:r w:rsidRPr="00A76316">
        <w:rPr>
          <w:b w:val="0"/>
          <w:sz w:val="22"/>
          <w:szCs w:val="22"/>
        </w:rPr>
        <w:t>&gt;&gt;</w:t>
      </w:r>
    </w:p>
    <w:p w14:paraId="54434EA5" w14:textId="77777777" w:rsidR="00A76316" w:rsidRPr="00A76316" w:rsidRDefault="003750E0" w:rsidP="001C6C4C">
      <w:pPr>
        <w:pStyle w:val="SDMPDDPoASection"/>
        <w:keepNext w:val="0"/>
        <w:keepLines w:val="0"/>
        <w:spacing w:before="0" w:after="0"/>
        <w:rPr>
          <w:b w:val="0"/>
          <w:sz w:val="22"/>
          <w:szCs w:val="22"/>
        </w:rPr>
      </w:pPr>
      <w:r>
        <w:rPr>
          <w:b w:val="0"/>
          <w:sz w:val="22"/>
          <w:szCs w:val="22"/>
        </w:rPr>
        <w:t xml:space="preserve">The crediting period for the VPA is 7 years, renewable twice. The duration of the crediting period will not exceed the end date of the programme. </w:t>
      </w:r>
    </w:p>
    <w:p w14:paraId="352CED4E" w14:textId="77777777" w:rsidR="00464B7C" w:rsidRPr="000C7CA3" w:rsidRDefault="00464B7C" w:rsidP="001E0142">
      <w:pPr>
        <w:pStyle w:val="SDMPDDPoASection"/>
        <w:numPr>
          <w:ilvl w:val="0"/>
          <w:numId w:val="30"/>
        </w:numPr>
        <w:tabs>
          <w:tab w:val="num" w:pos="2835"/>
        </w:tabs>
        <w:ind w:left="1729" w:hanging="1729"/>
      </w:pPr>
      <w:r w:rsidRPr="000C7CA3">
        <w:t xml:space="preserve">Environmental </w:t>
      </w:r>
      <w:r w:rsidR="00EE701E">
        <w:t>impacts</w:t>
      </w:r>
    </w:p>
    <w:p w14:paraId="17988941" w14:textId="77777777" w:rsidR="00464B7C" w:rsidRPr="000C7CA3" w:rsidRDefault="00464B7C" w:rsidP="001E0142">
      <w:pPr>
        <w:pStyle w:val="SDMPDDPoASubSection1"/>
        <w:numPr>
          <w:ilvl w:val="1"/>
          <w:numId w:val="30"/>
        </w:numPr>
      </w:pPr>
      <w:r w:rsidRPr="000C7CA3">
        <w:t>Analysis of environmental impacts</w:t>
      </w:r>
    </w:p>
    <w:p w14:paraId="51D633C4" w14:textId="77777777" w:rsidR="00464B7C" w:rsidRPr="000C7CA3" w:rsidRDefault="00464B7C" w:rsidP="00464B7C">
      <w:pPr>
        <w:rPr>
          <w:rFonts w:cs="Arial"/>
          <w:lang w:eastAsia="en-US"/>
        </w:rPr>
      </w:pPr>
      <w:r w:rsidRPr="000C7CA3">
        <w:rPr>
          <w:rFonts w:cs="Arial"/>
          <w:lang w:eastAsia="en-US"/>
        </w:rPr>
        <w:t>&gt;&gt;</w:t>
      </w:r>
    </w:p>
    <w:p w14:paraId="218CC60A" w14:textId="77777777" w:rsidR="00AC509B" w:rsidRPr="0003707C" w:rsidRDefault="00AC509B" w:rsidP="00AC509B">
      <w:pPr>
        <w:rPr>
          <w:rFonts w:cs="Arial"/>
        </w:rPr>
      </w:pPr>
      <w:r w:rsidRPr="0003707C">
        <w:rPr>
          <w:rFonts w:cs="Arial"/>
        </w:rPr>
        <w:t>An environmental impact assessment is not required for activities implementing household biodigesters in Kenya, as stipulated by the Environmental Management and Coordination Act, 1999, which states that only projects that fall under the Second Schedule are required to submit a Project Report and then potentially an Environmental Impact Assessment (EIA). The VPA will not be required to submit an EIA as the activities are not contained in the Second Schedule.</w:t>
      </w:r>
    </w:p>
    <w:p w14:paraId="30962D53" w14:textId="77777777" w:rsidR="00464B7C" w:rsidRPr="000C7CA3" w:rsidRDefault="00464B7C" w:rsidP="001E0142">
      <w:pPr>
        <w:pStyle w:val="SDMPDDPoASubSection1"/>
        <w:numPr>
          <w:ilvl w:val="1"/>
          <w:numId w:val="30"/>
        </w:numPr>
      </w:pPr>
      <w:r w:rsidRPr="000C7CA3">
        <w:t>Environmental impact assessment</w:t>
      </w:r>
    </w:p>
    <w:p w14:paraId="0C558BC4" w14:textId="77777777" w:rsidR="00464B7C" w:rsidRPr="000C7CA3" w:rsidRDefault="00464B7C" w:rsidP="00464B7C">
      <w:pPr>
        <w:rPr>
          <w:rFonts w:cs="Arial"/>
          <w:lang w:eastAsia="en-US"/>
        </w:rPr>
      </w:pPr>
      <w:r w:rsidRPr="000C7CA3">
        <w:rPr>
          <w:rFonts w:cs="Arial"/>
          <w:lang w:eastAsia="en-US"/>
        </w:rPr>
        <w:t>&gt;&gt;</w:t>
      </w:r>
    </w:p>
    <w:p w14:paraId="48DFA409" w14:textId="77777777" w:rsidR="00464B7C" w:rsidRDefault="00AC509B" w:rsidP="00464B7C">
      <w:pPr>
        <w:rPr>
          <w:rFonts w:cs="Arial"/>
          <w:lang w:eastAsia="en-US"/>
        </w:rPr>
      </w:pPr>
      <w:r>
        <w:rPr>
          <w:rFonts w:cs="Arial"/>
          <w:lang w:eastAsia="en-US"/>
        </w:rPr>
        <w:t>N/A</w:t>
      </w:r>
    </w:p>
    <w:p w14:paraId="46A4D233" w14:textId="77777777" w:rsidR="00163E00" w:rsidRPr="000C7CA3" w:rsidRDefault="00163E00" w:rsidP="00464B7C">
      <w:pPr>
        <w:rPr>
          <w:rFonts w:cs="Arial"/>
          <w:lang w:eastAsia="en-US"/>
        </w:rPr>
      </w:pPr>
    </w:p>
    <w:p w14:paraId="3C20BBB4" w14:textId="77777777" w:rsidR="00464B7C" w:rsidRPr="000C7CA3" w:rsidRDefault="00464B7C" w:rsidP="001E0142">
      <w:pPr>
        <w:pStyle w:val="SDMPDDPoASection"/>
        <w:numPr>
          <w:ilvl w:val="0"/>
          <w:numId w:val="30"/>
        </w:numPr>
        <w:tabs>
          <w:tab w:val="num" w:pos="2835"/>
        </w:tabs>
        <w:ind w:left="1729" w:hanging="1729"/>
      </w:pPr>
      <w:r>
        <w:lastRenderedPageBreak/>
        <w:t xml:space="preserve">Local stakeholder </w:t>
      </w:r>
      <w:r w:rsidRPr="00423502">
        <w:t>consultation</w:t>
      </w:r>
    </w:p>
    <w:p w14:paraId="4ECDC5AD" w14:textId="77777777" w:rsidR="00464B7C" w:rsidRPr="000C7CA3" w:rsidRDefault="00C00A60" w:rsidP="001E0142">
      <w:pPr>
        <w:pStyle w:val="SDMPDDPoASubSection1"/>
        <w:numPr>
          <w:ilvl w:val="1"/>
          <w:numId w:val="30"/>
        </w:numPr>
      </w:pPr>
      <w:r>
        <w:t>Modalities for</w:t>
      </w:r>
      <w:r w:rsidR="00464B7C" w:rsidRPr="000C7CA3">
        <w:t xml:space="preserve"> local stakeholder</w:t>
      </w:r>
      <w:r>
        <w:t xml:space="preserve"> consultation</w:t>
      </w:r>
    </w:p>
    <w:p w14:paraId="47255D28" w14:textId="77777777" w:rsidR="00464B7C" w:rsidRPr="000C7CA3" w:rsidRDefault="00464B7C" w:rsidP="00464B7C">
      <w:pPr>
        <w:rPr>
          <w:rFonts w:cs="Arial"/>
          <w:lang w:eastAsia="en-US"/>
        </w:rPr>
      </w:pPr>
      <w:r w:rsidRPr="000C7CA3">
        <w:rPr>
          <w:rFonts w:cs="Arial"/>
          <w:lang w:eastAsia="en-US"/>
        </w:rPr>
        <w:t>&gt;&gt;</w:t>
      </w:r>
    </w:p>
    <w:p w14:paraId="7F73A32A" w14:textId="77777777" w:rsidR="00DB2F9A" w:rsidRDefault="00F5762D" w:rsidP="00F5762D">
      <w:pPr>
        <w:rPr>
          <w:rFonts w:cs="Arial"/>
          <w:lang w:eastAsia="en-US"/>
        </w:rPr>
      </w:pPr>
      <w:r w:rsidRPr="00F5762D">
        <w:rPr>
          <w:rFonts w:cs="Arial"/>
          <w:lang w:eastAsia="en-US"/>
        </w:rPr>
        <w:t>The Kenya VPA006 is retroactively included in the African Bio</w:t>
      </w:r>
      <w:r w:rsidR="00DB2F9A">
        <w:rPr>
          <w:rFonts w:cs="Arial"/>
          <w:lang w:eastAsia="en-US"/>
        </w:rPr>
        <w:t xml:space="preserve">gas Carbon Programme (ABC) PoA, </w:t>
      </w:r>
      <w:r w:rsidR="00DB2F9A" w:rsidRPr="00DB2F9A">
        <w:rPr>
          <w:rFonts w:cs="Arial"/>
          <w:lang w:eastAsia="en-US"/>
        </w:rPr>
        <w:t xml:space="preserve">and is the second VPA of the PoA located in Kenya. </w:t>
      </w:r>
      <w:r w:rsidR="00CB5BCC">
        <w:rPr>
          <w:rFonts w:cs="Arial"/>
          <w:lang w:eastAsia="en-US"/>
        </w:rPr>
        <w:t>The</w:t>
      </w:r>
      <w:r w:rsidRPr="00F5762D">
        <w:rPr>
          <w:rFonts w:cs="Arial"/>
          <w:lang w:eastAsia="en-US"/>
        </w:rPr>
        <w:t xml:space="preserve"> design and implementation </w:t>
      </w:r>
      <w:r w:rsidR="00DB2F9A">
        <w:rPr>
          <w:rFonts w:cs="Arial"/>
          <w:lang w:eastAsia="en-US"/>
        </w:rPr>
        <w:t>of the Kenya VPA006</w:t>
      </w:r>
      <w:r w:rsidRPr="00F5762D">
        <w:rPr>
          <w:rFonts w:cs="Arial"/>
          <w:lang w:eastAsia="en-US"/>
        </w:rPr>
        <w:t xml:space="preserve"> is exactly as per the design and implementation</w:t>
      </w:r>
      <w:r w:rsidR="00CB5BCC">
        <w:rPr>
          <w:rFonts w:cs="Arial"/>
          <w:lang w:eastAsia="en-US"/>
        </w:rPr>
        <w:t xml:space="preserve"> </w:t>
      </w:r>
      <w:r w:rsidR="00DB2F9A">
        <w:rPr>
          <w:rFonts w:cs="Arial"/>
          <w:lang w:eastAsia="en-US"/>
        </w:rPr>
        <w:t>of VPA001 of the ABC PoA. M</w:t>
      </w:r>
      <w:r w:rsidR="00CB5BCC">
        <w:rPr>
          <w:rFonts w:cs="Arial"/>
          <w:lang w:eastAsia="en-US"/>
        </w:rPr>
        <w:t>oreover, the geographical location of VPA001 and VPA006 are identical, as both cover the entire territory of Kenya.</w:t>
      </w:r>
      <w:r w:rsidRPr="00F5762D">
        <w:rPr>
          <w:rFonts w:cs="Arial"/>
          <w:lang w:eastAsia="en-US"/>
        </w:rPr>
        <w:t xml:space="preserve"> </w:t>
      </w:r>
      <w:r w:rsidR="00B4418A">
        <w:rPr>
          <w:rFonts w:cs="Arial"/>
          <w:lang w:eastAsia="en-US"/>
        </w:rPr>
        <w:t>The reason for inclusion of VPA006 is simply that VPA001 has reached capacity; the project remains the same in all other aspects.</w:t>
      </w:r>
    </w:p>
    <w:p w14:paraId="12478815" w14:textId="77777777" w:rsidR="00DB2F9A" w:rsidRDefault="00DB2F9A" w:rsidP="00F5762D">
      <w:pPr>
        <w:rPr>
          <w:rFonts w:cs="Arial"/>
          <w:lang w:eastAsia="en-US"/>
        </w:rPr>
      </w:pPr>
    </w:p>
    <w:p w14:paraId="5D3C50FD" w14:textId="77777777" w:rsidR="00992340" w:rsidRDefault="00F5762D" w:rsidP="00F5762D">
      <w:pPr>
        <w:rPr>
          <w:rFonts w:cs="Arial"/>
          <w:lang w:eastAsia="en-US"/>
        </w:rPr>
      </w:pPr>
      <w:r w:rsidRPr="00F5762D">
        <w:rPr>
          <w:rFonts w:cs="Arial"/>
          <w:lang w:eastAsia="en-US"/>
        </w:rPr>
        <w:t xml:space="preserve">As part of the registration process of VPA001, a Local Stakeholder Consultation (LSC) was carried </w:t>
      </w:r>
      <w:r w:rsidR="00992340">
        <w:rPr>
          <w:rFonts w:cs="Arial"/>
          <w:lang w:eastAsia="en-US"/>
        </w:rPr>
        <w:t xml:space="preserve">out on 19 October </w:t>
      </w:r>
      <w:r w:rsidR="00DB2F9A">
        <w:rPr>
          <w:rFonts w:cs="Arial"/>
          <w:lang w:eastAsia="en-US"/>
        </w:rPr>
        <w:t xml:space="preserve">2011 in Nairobi. </w:t>
      </w:r>
      <w:r w:rsidR="0090053E">
        <w:rPr>
          <w:rFonts w:cs="Arial"/>
          <w:lang w:eastAsia="en-US"/>
        </w:rPr>
        <w:t xml:space="preserve">There were 38 participants. </w:t>
      </w:r>
      <w:r w:rsidR="00992340">
        <w:rPr>
          <w:rFonts w:cs="Arial"/>
          <w:lang w:eastAsia="en-US"/>
        </w:rPr>
        <w:t>A further LSC was carried out on 29 May 2015</w:t>
      </w:r>
      <w:r w:rsidR="00992340">
        <w:rPr>
          <w:rStyle w:val="FootnoteReference"/>
          <w:rFonts w:cs="Arial"/>
          <w:lang w:eastAsia="en-US"/>
        </w:rPr>
        <w:footnoteReference w:id="38"/>
      </w:r>
      <w:r w:rsidR="00992340">
        <w:rPr>
          <w:rFonts w:cs="Arial"/>
          <w:lang w:eastAsia="en-US"/>
        </w:rPr>
        <w:t xml:space="preserve"> as part of an effort to account for carbon reductions from soil carbon sequestration occurring as a result of bioslurry usage as fertilizer.</w:t>
      </w:r>
      <w:r w:rsidR="0090053E">
        <w:rPr>
          <w:rFonts w:cs="Arial"/>
          <w:lang w:eastAsia="en-US"/>
        </w:rPr>
        <w:t xml:space="preserve"> There were 75 participants.</w:t>
      </w:r>
      <w:r w:rsidR="00992340">
        <w:rPr>
          <w:rFonts w:cs="Arial"/>
          <w:lang w:eastAsia="en-US"/>
        </w:rPr>
        <w:t xml:space="preserve"> </w:t>
      </w:r>
    </w:p>
    <w:p w14:paraId="6DFBDF10" w14:textId="77777777" w:rsidR="00992340" w:rsidRDefault="00992340" w:rsidP="00F5762D">
      <w:pPr>
        <w:rPr>
          <w:rFonts w:cs="Arial"/>
          <w:lang w:eastAsia="en-US"/>
        </w:rPr>
      </w:pPr>
    </w:p>
    <w:p w14:paraId="72A94AE4" w14:textId="77777777" w:rsidR="00464B7C" w:rsidRDefault="00F5762D" w:rsidP="00F5762D">
      <w:pPr>
        <w:rPr>
          <w:rFonts w:cs="Arial"/>
          <w:lang w:eastAsia="en-US"/>
        </w:rPr>
      </w:pPr>
      <w:r w:rsidRPr="00F5762D">
        <w:rPr>
          <w:rFonts w:cs="Arial"/>
          <w:lang w:eastAsia="en-US"/>
        </w:rPr>
        <w:t>Given th</w:t>
      </w:r>
      <w:r w:rsidR="00CB5BCC">
        <w:rPr>
          <w:rFonts w:cs="Arial"/>
          <w:lang w:eastAsia="en-US"/>
        </w:rPr>
        <w:t>at the LSC</w:t>
      </w:r>
      <w:r w:rsidR="00992340">
        <w:rPr>
          <w:rFonts w:cs="Arial"/>
          <w:lang w:eastAsia="en-US"/>
        </w:rPr>
        <w:t>s</w:t>
      </w:r>
      <w:r w:rsidR="00CB5BCC">
        <w:rPr>
          <w:rFonts w:cs="Arial"/>
          <w:lang w:eastAsia="en-US"/>
        </w:rPr>
        <w:t xml:space="preserve"> carried out in 2011 </w:t>
      </w:r>
      <w:r w:rsidR="00992340">
        <w:rPr>
          <w:rFonts w:cs="Arial"/>
          <w:lang w:eastAsia="en-US"/>
        </w:rPr>
        <w:t xml:space="preserve">and 2015 </w:t>
      </w:r>
      <w:r w:rsidR="00CB5BCC">
        <w:rPr>
          <w:rFonts w:cs="Arial"/>
          <w:lang w:eastAsia="en-US"/>
        </w:rPr>
        <w:t>covers</w:t>
      </w:r>
      <w:r w:rsidRPr="00F5762D">
        <w:rPr>
          <w:rFonts w:cs="Arial"/>
          <w:lang w:eastAsia="en-US"/>
        </w:rPr>
        <w:t xml:space="preserve"> the people </w:t>
      </w:r>
      <w:r w:rsidR="00CB5BCC">
        <w:rPr>
          <w:rFonts w:cs="Arial"/>
          <w:lang w:eastAsia="en-US"/>
        </w:rPr>
        <w:t xml:space="preserve">and area </w:t>
      </w:r>
      <w:r w:rsidRPr="00F5762D">
        <w:rPr>
          <w:rFonts w:cs="Arial"/>
          <w:lang w:eastAsia="en-US"/>
        </w:rPr>
        <w:t>affected by the VPA001, there is no need to carry out an additional local stakeholder consultation for the registration of the VPA006</w:t>
      </w:r>
      <w:r w:rsidR="00CB5BCC">
        <w:rPr>
          <w:rFonts w:cs="Arial"/>
          <w:lang w:eastAsia="en-US"/>
        </w:rPr>
        <w:t xml:space="preserve">. The 2011 </w:t>
      </w:r>
      <w:r w:rsidR="00992340">
        <w:rPr>
          <w:rFonts w:cs="Arial"/>
          <w:lang w:eastAsia="en-US"/>
        </w:rPr>
        <w:t xml:space="preserve">and 2015 </w:t>
      </w:r>
      <w:r w:rsidR="00CB5BCC">
        <w:rPr>
          <w:rFonts w:cs="Arial"/>
          <w:lang w:eastAsia="en-US"/>
        </w:rPr>
        <w:t>LSC</w:t>
      </w:r>
      <w:r w:rsidR="00992340">
        <w:rPr>
          <w:rFonts w:cs="Arial"/>
          <w:lang w:eastAsia="en-US"/>
        </w:rPr>
        <w:t>s</w:t>
      </w:r>
      <w:r w:rsidR="00CB5BCC">
        <w:rPr>
          <w:rFonts w:cs="Arial"/>
          <w:lang w:eastAsia="en-US"/>
        </w:rPr>
        <w:t xml:space="preserve"> </w:t>
      </w:r>
      <w:r w:rsidR="00992340">
        <w:rPr>
          <w:rFonts w:cs="Arial"/>
          <w:lang w:eastAsia="en-US"/>
        </w:rPr>
        <w:t>are</w:t>
      </w:r>
      <w:r w:rsidR="00CB5BCC">
        <w:rPr>
          <w:rFonts w:cs="Arial"/>
          <w:lang w:eastAsia="en-US"/>
        </w:rPr>
        <w:t xml:space="preserve"> used as stakeholder input for VPA006.</w:t>
      </w:r>
      <w:r w:rsidRPr="00F5762D">
        <w:rPr>
          <w:rFonts w:cs="Arial"/>
          <w:lang w:eastAsia="en-US"/>
        </w:rPr>
        <w:t xml:space="preserve"> </w:t>
      </w:r>
      <w:r w:rsidR="00CB5BCC">
        <w:rPr>
          <w:rFonts w:cs="Arial"/>
          <w:lang w:eastAsia="en-US"/>
        </w:rPr>
        <w:t>A</w:t>
      </w:r>
      <w:r w:rsidRPr="00F5762D">
        <w:rPr>
          <w:rFonts w:cs="Arial"/>
          <w:lang w:eastAsia="en-US"/>
        </w:rPr>
        <w:t xml:space="preserve">dditionally, Hivos will carry out a </w:t>
      </w:r>
      <w:r w:rsidR="00B4418A">
        <w:rPr>
          <w:rFonts w:cs="Arial"/>
          <w:lang w:eastAsia="en-US"/>
        </w:rPr>
        <w:t>S</w:t>
      </w:r>
      <w:r w:rsidRPr="00F5762D">
        <w:rPr>
          <w:rFonts w:cs="Arial"/>
          <w:lang w:eastAsia="en-US"/>
        </w:rPr>
        <w:t xml:space="preserve">takeholder </w:t>
      </w:r>
      <w:r w:rsidR="00B4418A">
        <w:rPr>
          <w:rFonts w:cs="Arial"/>
          <w:lang w:eastAsia="en-US"/>
        </w:rPr>
        <w:t>F</w:t>
      </w:r>
      <w:r w:rsidRPr="00F5762D">
        <w:rPr>
          <w:rFonts w:cs="Arial"/>
          <w:lang w:eastAsia="en-US"/>
        </w:rPr>
        <w:t xml:space="preserve">eedback </w:t>
      </w:r>
      <w:r w:rsidR="00B4418A">
        <w:rPr>
          <w:rFonts w:cs="Arial"/>
          <w:lang w:eastAsia="en-US"/>
        </w:rPr>
        <w:t>R</w:t>
      </w:r>
      <w:r w:rsidRPr="00F5762D">
        <w:rPr>
          <w:rFonts w:cs="Arial"/>
          <w:lang w:eastAsia="en-US"/>
        </w:rPr>
        <w:t>ound for the Kenya VPA006, seeking feedback from stakeholders through electronic communication.</w:t>
      </w:r>
    </w:p>
    <w:p w14:paraId="63AB0430" w14:textId="77777777" w:rsidR="00AF33DA" w:rsidRDefault="00AF33DA" w:rsidP="00F5762D">
      <w:pPr>
        <w:rPr>
          <w:rFonts w:cs="Arial"/>
          <w:lang w:eastAsia="en-US"/>
        </w:rPr>
      </w:pPr>
    </w:p>
    <w:p w14:paraId="32CC8CEA" w14:textId="77777777" w:rsidR="00AF33DA" w:rsidRDefault="00AF33DA" w:rsidP="00F5762D">
      <w:pPr>
        <w:rPr>
          <w:rFonts w:cs="Arial"/>
          <w:lang w:eastAsia="en-US"/>
        </w:rPr>
      </w:pPr>
      <w:r>
        <w:rPr>
          <w:rFonts w:cs="Arial"/>
          <w:lang w:eastAsia="en-US"/>
        </w:rPr>
        <w:t xml:space="preserve">The following description </w:t>
      </w:r>
      <w:r w:rsidR="00DB2F9A">
        <w:rPr>
          <w:rFonts w:cs="Arial"/>
          <w:lang w:eastAsia="en-US"/>
        </w:rPr>
        <w:t xml:space="preserve">of the modalities for the LSC </w:t>
      </w:r>
      <w:r>
        <w:rPr>
          <w:rFonts w:cs="Arial"/>
          <w:lang w:eastAsia="en-US"/>
        </w:rPr>
        <w:t>applies to the implementation of the 2011</w:t>
      </w:r>
      <w:r w:rsidR="0090053E">
        <w:rPr>
          <w:rFonts w:cs="Arial"/>
          <w:lang w:eastAsia="en-US"/>
        </w:rPr>
        <w:t xml:space="preserve"> and 2015</w:t>
      </w:r>
      <w:r>
        <w:rPr>
          <w:rFonts w:cs="Arial"/>
          <w:lang w:eastAsia="en-US"/>
        </w:rPr>
        <w:t xml:space="preserve"> </w:t>
      </w:r>
      <w:r w:rsidR="00DB2F9A">
        <w:rPr>
          <w:rFonts w:cs="Arial"/>
          <w:lang w:eastAsia="en-US"/>
        </w:rPr>
        <w:t>LSC</w:t>
      </w:r>
      <w:r w:rsidR="0090053E">
        <w:rPr>
          <w:rFonts w:cs="Arial"/>
          <w:lang w:eastAsia="en-US"/>
        </w:rPr>
        <w:t>s</w:t>
      </w:r>
      <w:r w:rsidR="00DB2F9A">
        <w:rPr>
          <w:rFonts w:cs="Arial"/>
          <w:lang w:eastAsia="en-US"/>
        </w:rPr>
        <w:t xml:space="preserve">. </w:t>
      </w:r>
      <w:r>
        <w:rPr>
          <w:rFonts w:cs="Arial"/>
          <w:lang w:eastAsia="en-US"/>
        </w:rPr>
        <w:t xml:space="preserve"> </w:t>
      </w:r>
    </w:p>
    <w:p w14:paraId="6C46C0ED" w14:textId="77777777" w:rsidR="0090053E" w:rsidRDefault="0090053E" w:rsidP="00F5762D">
      <w:pPr>
        <w:rPr>
          <w:rFonts w:cs="Arial"/>
          <w:u w:val="single"/>
          <w:lang w:eastAsia="en-US"/>
        </w:rPr>
      </w:pPr>
    </w:p>
    <w:p w14:paraId="71642EB8" w14:textId="77777777" w:rsidR="0090053E" w:rsidRPr="0090053E" w:rsidRDefault="0090053E" w:rsidP="00F5762D">
      <w:pPr>
        <w:rPr>
          <w:rFonts w:cs="Arial"/>
          <w:b/>
          <w:u w:val="single"/>
          <w:lang w:eastAsia="en-US"/>
        </w:rPr>
      </w:pPr>
      <w:r>
        <w:rPr>
          <w:rFonts w:cs="Arial"/>
          <w:u w:val="single"/>
          <w:lang w:eastAsia="en-US"/>
        </w:rPr>
        <w:t>19 October 2011 at Panafric Hotel, Nairobi</w:t>
      </w:r>
    </w:p>
    <w:p w14:paraId="2B6134F8" w14:textId="77777777" w:rsidR="00AF33DA" w:rsidRPr="0003707C" w:rsidRDefault="00AF33DA" w:rsidP="00AF33DA">
      <w:pPr>
        <w:rPr>
          <w:rFonts w:cs="Arial"/>
        </w:rPr>
      </w:pPr>
      <w:r w:rsidRPr="0003707C">
        <w:rPr>
          <w:rFonts w:cs="Arial"/>
        </w:rPr>
        <w:t>Comments were solicited from stakeholders in accordance with the Gold Standard’s procedures. Stakeholders were invited to attend a public meeting to be informed and give their comments on the SSC-VPA. The meeting was held on 19/10/2011 at 09:00 AM, at Panafric Hotel, Nairobi. Invitations were distributed to specific stakeholders via e-mail and telephone between 05/10/11 – 07/10/11 and a public invitation was advertised in the weekly regional newspaper the East African on 10/10/11. The process for identifying stakeholders is described in more detail in the Local Stakeholder Consultation report. 38 people who represented a wide range of stakeholders attended the meeting. Women were well represented and were outspoken in the meeting, making up 39% of the attendees. Stakeholders included representatives from government ministries, non-governmental organisations, private businesses, financiers and farmers including some that had already installed biogas systems.</w:t>
      </w:r>
    </w:p>
    <w:p w14:paraId="4B39C5C4" w14:textId="77777777" w:rsidR="00AF33DA" w:rsidRPr="0003707C" w:rsidRDefault="00AF33DA" w:rsidP="00AF33DA">
      <w:pPr>
        <w:rPr>
          <w:rFonts w:cs="Arial"/>
        </w:rPr>
      </w:pPr>
    </w:p>
    <w:p w14:paraId="0264C879" w14:textId="77777777" w:rsidR="00AF33DA" w:rsidRDefault="00AF33DA" w:rsidP="00AF33DA">
      <w:pPr>
        <w:rPr>
          <w:rFonts w:cs="Arial"/>
        </w:rPr>
      </w:pPr>
      <w:r w:rsidRPr="0003707C">
        <w:rPr>
          <w:rFonts w:cs="Arial"/>
        </w:rPr>
        <w:t xml:space="preserve">Participants were briefed on the background to the CDM mechanism, the basic concept of which is the ability to generate carbon credits for </w:t>
      </w:r>
      <w:r w:rsidR="00B4418A">
        <w:rPr>
          <w:rFonts w:cs="Arial"/>
        </w:rPr>
        <w:t>a</w:t>
      </w:r>
      <w:r w:rsidR="00B4418A" w:rsidRPr="0003707C">
        <w:rPr>
          <w:rFonts w:cs="Arial"/>
        </w:rPr>
        <w:t xml:space="preserve"> </w:t>
      </w:r>
      <w:r w:rsidRPr="0003707C">
        <w:rPr>
          <w:rFonts w:cs="Arial"/>
        </w:rPr>
        <w:t xml:space="preserve">programme which applies also under the Gold Standard, and the PoA-DD with questions and answer sessions for each topic. Participants were then presented with the specifics of the VPA and invited to make comments and ask any questions. The participants then engaged in an exercise to examine the sustainability of the VPA, as per Gold Standard requirements. Participants were also invited to provide written feedback, evaluation forms were received in English. Stakeholders that were unable to attend the meeting were invited to send in comments via e-mail. </w:t>
      </w:r>
    </w:p>
    <w:p w14:paraId="6F6B7C62" w14:textId="77777777" w:rsidR="00AF33DA" w:rsidRPr="0003707C" w:rsidRDefault="00AF33DA" w:rsidP="00AF33DA">
      <w:pPr>
        <w:rPr>
          <w:rFonts w:cs="Arial"/>
        </w:rPr>
      </w:pPr>
    </w:p>
    <w:p w14:paraId="098F9ED0" w14:textId="77777777" w:rsidR="00AF33DA" w:rsidRPr="004F7C48" w:rsidRDefault="00AF33DA" w:rsidP="00AF33DA">
      <w:pPr>
        <w:rPr>
          <w:rFonts w:cs="Arial"/>
        </w:rPr>
      </w:pPr>
      <w:r w:rsidRPr="000C0D0A">
        <w:rPr>
          <w:rFonts w:cs="Arial"/>
          <w:lang w:val="en-US"/>
        </w:rPr>
        <w:t xml:space="preserve">A </w:t>
      </w:r>
      <w:r>
        <w:rPr>
          <w:rFonts w:cs="Arial"/>
          <w:lang w:val="en-US"/>
        </w:rPr>
        <w:t xml:space="preserve">follow-up </w:t>
      </w:r>
      <w:r w:rsidRPr="000C0D0A">
        <w:rPr>
          <w:rFonts w:cs="Arial"/>
          <w:lang w:val="en-US"/>
        </w:rPr>
        <w:t xml:space="preserve">Stakeholder Feedback Round was </w:t>
      </w:r>
      <w:r>
        <w:rPr>
          <w:rFonts w:cs="Arial"/>
          <w:lang w:val="en-US"/>
        </w:rPr>
        <w:t xml:space="preserve">also </w:t>
      </w:r>
      <w:r w:rsidRPr="000C0D0A">
        <w:rPr>
          <w:rFonts w:cs="Arial"/>
          <w:lang w:val="en-US"/>
        </w:rPr>
        <w:t>organized from 9</w:t>
      </w:r>
      <w:r w:rsidRPr="000C0D0A">
        <w:rPr>
          <w:rFonts w:cs="Arial"/>
          <w:vertAlign w:val="superscript"/>
          <w:lang w:val="en-US"/>
        </w:rPr>
        <w:t>th</w:t>
      </w:r>
      <w:r w:rsidRPr="000C0D0A">
        <w:rPr>
          <w:rFonts w:cs="Arial"/>
          <w:lang w:val="en-US"/>
        </w:rPr>
        <w:t xml:space="preserve"> January to 9</w:t>
      </w:r>
      <w:r w:rsidRPr="000C0D0A">
        <w:rPr>
          <w:rFonts w:cs="Arial"/>
          <w:vertAlign w:val="superscript"/>
          <w:lang w:val="en-US"/>
        </w:rPr>
        <w:t>th</w:t>
      </w:r>
      <w:r w:rsidRPr="000C0D0A">
        <w:rPr>
          <w:rFonts w:cs="Arial"/>
          <w:lang w:val="en-US"/>
        </w:rPr>
        <w:t xml:space="preserve"> March 2015. Stakeholders were invited to review the LSC Report, PDDs and Passports for the PoA and VPA</w:t>
      </w:r>
      <w:r>
        <w:rPr>
          <w:rFonts w:cs="Arial"/>
          <w:lang w:val="en-US"/>
        </w:rPr>
        <w:t xml:space="preserve">. </w:t>
      </w:r>
    </w:p>
    <w:p w14:paraId="65CC48A2" w14:textId="77777777" w:rsidR="00F5762D" w:rsidRDefault="00F5762D" w:rsidP="00464B7C">
      <w:pPr>
        <w:rPr>
          <w:rFonts w:cs="Arial"/>
          <w:lang w:eastAsia="en-US"/>
        </w:rPr>
      </w:pPr>
    </w:p>
    <w:p w14:paraId="690B5C18" w14:textId="77777777" w:rsidR="0090053E" w:rsidRPr="0090053E" w:rsidRDefault="0090053E" w:rsidP="0090053E">
      <w:pPr>
        <w:rPr>
          <w:rFonts w:cs="Arial"/>
          <w:b/>
          <w:u w:val="single"/>
          <w:lang w:eastAsia="en-US"/>
        </w:rPr>
      </w:pPr>
      <w:r>
        <w:rPr>
          <w:rFonts w:cs="Arial"/>
          <w:u w:val="single"/>
          <w:lang w:eastAsia="en-US"/>
        </w:rPr>
        <w:t>29 May 2015 at Heron Portico Hotel, Nairobi</w:t>
      </w:r>
    </w:p>
    <w:p w14:paraId="73D8FE79" w14:textId="350CDF0D" w:rsidR="0090053E" w:rsidRPr="0003707C" w:rsidRDefault="0090053E" w:rsidP="0090053E">
      <w:pPr>
        <w:rPr>
          <w:rFonts w:cs="Arial"/>
        </w:rPr>
      </w:pPr>
      <w:r w:rsidRPr="0003707C">
        <w:rPr>
          <w:rFonts w:cs="Arial"/>
        </w:rPr>
        <w:t>Comments were solicited from stakeholders in accordance with the Gold Standard’s procedures. Stakeholders were invited to attend a public meeting to be informed and give their comments on the SSC</w:t>
      </w:r>
      <w:r>
        <w:rPr>
          <w:rFonts w:cs="Arial"/>
        </w:rPr>
        <w:t>-VPA. The meeting was held on 29</w:t>
      </w:r>
      <w:r w:rsidRPr="0003707C">
        <w:rPr>
          <w:rFonts w:cs="Arial"/>
        </w:rPr>
        <w:t>/</w:t>
      </w:r>
      <w:r>
        <w:rPr>
          <w:rFonts w:cs="Arial"/>
        </w:rPr>
        <w:t>05</w:t>
      </w:r>
      <w:r w:rsidRPr="0003707C">
        <w:rPr>
          <w:rFonts w:cs="Arial"/>
        </w:rPr>
        <w:t>/201</w:t>
      </w:r>
      <w:r>
        <w:rPr>
          <w:rFonts w:cs="Arial"/>
        </w:rPr>
        <w:t>5</w:t>
      </w:r>
      <w:r w:rsidRPr="0003707C">
        <w:rPr>
          <w:rFonts w:cs="Arial"/>
        </w:rPr>
        <w:t xml:space="preserve"> at 09:00 AM, at </w:t>
      </w:r>
      <w:r>
        <w:rPr>
          <w:rFonts w:cs="Arial"/>
        </w:rPr>
        <w:t>the Heron Portico</w:t>
      </w:r>
      <w:r w:rsidRPr="0003707C">
        <w:rPr>
          <w:rFonts w:cs="Arial"/>
        </w:rPr>
        <w:t xml:space="preserve"> Hotel, Nairobi. </w:t>
      </w:r>
      <w:r w:rsidRPr="0003707C">
        <w:rPr>
          <w:rFonts w:cs="Arial"/>
        </w:rPr>
        <w:lastRenderedPageBreak/>
        <w:t xml:space="preserve">Invitations were distributed to stakeholders via </w:t>
      </w:r>
      <w:r>
        <w:rPr>
          <w:rFonts w:cs="Arial"/>
        </w:rPr>
        <w:t xml:space="preserve">an add in the Daily Nation paper, </w:t>
      </w:r>
      <w:r w:rsidRPr="0003707C">
        <w:rPr>
          <w:rFonts w:cs="Arial"/>
        </w:rPr>
        <w:t xml:space="preserve">e-mail and telephone </w:t>
      </w:r>
      <w:r>
        <w:rPr>
          <w:rFonts w:cs="Arial"/>
        </w:rPr>
        <w:t>from 19/05/2015 onwards</w:t>
      </w:r>
      <w:r w:rsidRPr="0003707C">
        <w:rPr>
          <w:rFonts w:cs="Arial"/>
        </w:rPr>
        <w:t>.</w:t>
      </w:r>
      <w:r>
        <w:rPr>
          <w:rFonts w:cs="Arial"/>
        </w:rPr>
        <w:t xml:space="preserve"> The consultation was also advertised on the ABPP website (africabiogas.org).</w:t>
      </w:r>
      <w:r w:rsidRPr="0003707C">
        <w:rPr>
          <w:rFonts w:cs="Arial"/>
        </w:rPr>
        <w:t xml:space="preserve"> </w:t>
      </w:r>
      <w:r w:rsidR="00075D1E">
        <w:rPr>
          <w:rFonts w:cs="Arial"/>
        </w:rPr>
        <w:t xml:space="preserve">75 people, </w:t>
      </w:r>
      <w:r w:rsidRPr="0003707C">
        <w:rPr>
          <w:rFonts w:cs="Arial"/>
        </w:rPr>
        <w:t>represent</w:t>
      </w:r>
      <w:r w:rsidR="00075D1E">
        <w:rPr>
          <w:rFonts w:cs="Arial"/>
        </w:rPr>
        <w:t>ing</w:t>
      </w:r>
      <w:r w:rsidRPr="0003707C">
        <w:rPr>
          <w:rFonts w:cs="Arial"/>
        </w:rPr>
        <w:t xml:space="preserve"> a wide range of stakeholders</w:t>
      </w:r>
      <w:r w:rsidR="00075D1E">
        <w:rPr>
          <w:rFonts w:cs="Arial"/>
        </w:rPr>
        <w:t>,</w:t>
      </w:r>
      <w:r w:rsidRPr="0003707C">
        <w:rPr>
          <w:rFonts w:cs="Arial"/>
        </w:rPr>
        <w:t xml:space="preserve"> attended the meeting.</w:t>
      </w:r>
    </w:p>
    <w:p w14:paraId="66A76E87" w14:textId="77777777" w:rsidR="0090053E" w:rsidRPr="0003707C" w:rsidRDefault="0090053E" w:rsidP="0090053E">
      <w:pPr>
        <w:rPr>
          <w:rFonts w:cs="Arial"/>
        </w:rPr>
      </w:pPr>
    </w:p>
    <w:p w14:paraId="40481393" w14:textId="77777777" w:rsidR="0090053E" w:rsidRPr="000C7CA3" w:rsidRDefault="0090053E" w:rsidP="00464B7C">
      <w:pPr>
        <w:rPr>
          <w:rFonts w:cs="Arial"/>
          <w:lang w:eastAsia="en-US"/>
        </w:rPr>
      </w:pPr>
      <w:r w:rsidRPr="0003707C">
        <w:rPr>
          <w:rFonts w:cs="Arial"/>
        </w:rPr>
        <w:t xml:space="preserve">Participants were briefed on the background to the </w:t>
      </w:r>
      <w:r w:rsidR="00075D1E">
        <w:rPr>
          <w:rFonts w:cs="Arial"/>
        </w:rPr>
        <w:t>Gold Stan</w:t>
      </w:r>
      <w:r w:rsidR="003E61D1">
        <w:rPr>
          <w:rFonts w:cs="Arial"/>
        </w:rPr>
        <w:t>d</w:t>
      </w:r>
      <w:r w:rsidR="00075D1E">
        <w:rPr>
          <w:rFonts w:cs="Arial"/>
        </w:rPr>
        <w:t>ard</w:t>
      </w:r>
      <w:r w:rsidRPr="0003707C">
        <w:rPr>
          <w:rFonts w:cs="Arial"/>
        </w:rPr>
        <w:t xml:space="preserve"> mechanism, the basic concept of which is the ability to generate carbon credits for </w:t>
      </w:r>
      <w:r>
        <w:rPr>
          <w:rFonts w:cs="Arial"/>
        </w:rPr>
        <w:t>a</w:t>
      </w:r>
      <w:r w:rsidRPr="0003707C">
        <w:rPr>
          <w:rFonts w:cs="Arial"/>
        </w:rPr>
        <w:t xml:space="preserve"> programme which applies also under the Gold Standard, with questions and answer sessions for each topic. Participants were then presented with the specifics of the VPA and invited to make comments and ask any questions. The participants then engaged in an exercise to examine the sustainability of the </w:t>
      </w:r>
      <w:r w:rsidR="00075D1E">
        <w:rPr>
          <w:rFonts w:cs="Arial"/>
        </w:rPr>
        <w:t>programme</w:t>
      </w:r>
      <w:r w:rsidRPr="0003707C">
        <w:rPr>
          <w:rFonts w:cs="Arial"/>
        </w:rPr>
        <w:t>, as per Gold Standard requirements. Participants were also invited to provide written feedback,</w:t>
      </w:r>
      <w:r w:rsidR="00075D1E">
        <w:rPr>
          <w:rFonts w:cs="Arial"/>
        </w:rPr>
        <w:t xml:space="preserve"> and</w:t>
      </w:r>
      <w:r w:rsidRPr="0003707C">
        <w:rPr>
          <w:rFonts w:cs="Arial"/>
        </w:rPr>
        <w:t xml:space="preserve"> e</w:t>
      </w:r>
      <w:r w:rsidR="00075D1E">
        <w:rPr>
          <w:rFonts w:cs="Arial"/>
        </w:rPr>
        <w:t>valuation forms were received</w:t>
      </w:r>
      <w:r w:rsidRPr="0003707C">
        <w:rPr>
          <w:rFonts w:cs="Arial"/>
        </w:rPr>
        <w:t xml:space="preserve">. </w:t>
      </w:r>
    </w:p>
    <w:p w14:paraId="2823C2C6" w14:textId="77777777" w:rsidR="00464B7C" w:rsidRPr="000C7CA3" w:rsidRDefault="00464B7C" w:rsidP="001E0142">
      <w:pPr>
        <w:pStyle w:val="SDMPDDPoASubSection1"/>
        <w:numPr>
          <w:ilvl w:val="1"/>
          <w:numId w:val="30"/>
        </w:numPr>
      </w:pPr>
      <w:r w:rsidRPr="000C7CA3">
        <w:t>Summary of comments received</w:t>
      </w:r>
    </w:p>
    <w:p w14:paraId="7EF3EDA2" w14:textId="77777777" w:rsidR="00464B7C" w:rsidRPr="000C7CA3" w:rsidRDefault="00464B7C" w:rsidP="00464B7C">
      <w:pPr>
        <w:rPr>
          <w:rFonts w:cs="Arial"/>
          <w:lang w:eastAsia="en-US"/>
        </w:rPr>
      </w:pPr>
      <w:r w:rsidRPr="000C7CA3">
        <w:rPr>
          <w:rFonts w:cs="Arial"/>
          <w:lang w:eastAsia="en-US"/>
        </w:rPr>
        <w:t>&gt;&gt;</w:t>
      </w:r>
    </w:p>
    <w:p w14:paraId="6EF05988" w14:textId="228DB3EC" w:rsidR="00F5762D" w:rsidRPr="00075D1E" w:rsidRDefault="00F5762D" w:rsidP="00F5762D">
      <w:pPr>
        <w:rPr>
          <w:rFonts w:cs="Arial"/>
          <w:szCs w:val="22"/>
        </w:rPr>
      </w:pPr>
      <w:r w:rsidRPr="00F5762D">
        <w:rPr>
          <w:rFonts w:cs="Arial"/>
          <w:iCs/>
          <w:szCs w:val="22"/>
        </w:rPr>
        <w:t>The table below summarizes the comments received during the 2011</w:t>
      </w:r>
      <w:r w:rsidR="00075D1E">
        <w:rPr>
          <w:rFonts w:cs="Arial"/>
          <w:iCs/>
          <w:szCs w:val="22"/>
        </w:rPr>
        <w:t xml:space="preserve"> and 2015</w:t>
      </w:r>
      <w:r w:rsidRPr="00F5762D">
        <w:rPr>
          <w:rFonts w:cs="Arial"/>
          <w:iCs/>
          <w:szCs w:val="22"/>
        </w:rPr>
        <w:t xml:space="preserve"> Local Stakeholder Consultation</w:t>
      </w:r>
      <w:r>
        <w:rPr>
          <w:rFonts w:cs="Arial"/>
          <w:iCs/>
          <w:szCs w:val="22"/>
        </w:rPr>
        <w:t xml:space="preserve">, as well as the response by </w:t>
      </w:r>
      <w:r w:rsidR="00075D1E">
        <w:rPr>
          <w:rFonts w:cs="Arial"/>
          <w:iCs/>
          <w:szCs w:val="22"/>
        </w:rPr>
        <w:t>the programme</w:t>
      </w:r>
      <w:r w:rsidRPr="00F5762D">
        <w:rPr>
          <w:rFonts w:cs="Arial"/>
          <w:iCs/>
          <w:szCs w:val="22"/>
        </w:rPr>
        <w:t xml:space="preserve">. </w:t>
      </w:r>
      <w:r w:rsidRPr="00F5762D">
        <w:rPr>
          <w:rFonts w:cs="Arial"/>
          <w:szCs w:val="22"/>
        </w:rPr>
        <w:t xml:space="preserve">The comments received were </w:t>
      </w:r>
      <w:r w:rsidR="00075D1E">
        <w:rPr>
          <w:rFonts w:cs="Arial"/>
          <w:szCs w:val="22"/>
        </w:rPr>
        <w:t xml:space="preserve">overall </w:t>
      </w:r>
      <w:r w:rsidRPr="00F5762D">
        <w:rPr>
          <w:rFonts w:cs="Arial"/>
          <w:szCs w:val="22"/>
        </w:rPr>
        <w:t>very positive. Their responses mainly called for KENDBIP</w:t>
      </w:r>
      <w:r w:rsidR="00537702">
        <w:rPr>
          <w:rStyle w:val="FootnoteReference"/>
          <w:rFonts w:cs="Arial"/>
          <w:szCs w:val="22"/>
        </w:rPr>
        <w:footnoteReference w:id="39"/>
      </w:r>
      <w:r w:rsidRPr="00F5762D">
        <w:rPr>
          <w:rFonts w:cs="Arial"/>
          <w:szCs w:val="22"/>
        </w:rPr>
        <w:t xml:space="preserve"> to be expanded beyond dom</w:t>
      </w:r>
      <w:r w:rsidR="00075D1E">
        <w:rPr>
          <w:rFonts w:cs="Arial"/>
          <w:szCs w:val="22"/>
        </w:rPr>
        <w:t>estic fixed dome installations.</w:t>
      </w:r>
    </w:p>
    <w:p w14:paraId="15A7B603" w14:textId="77777777" w:rsidR="00F5762D" w:rsidRPr="006505E8" w:rsidRDefault="00B53A36" w:rsidP="00CB783F">
      <w:pPr>
        <w:pStyle w:val="Caption"/>
        <w:ind w:hanging="1956"/>
        <w:rPr>
          <w:rFonts w:cs="Arial"/>
          <w:i/>
          <w:iCs/>
        </w:rPr>
      </w:pPr>
      <w:r>
        <w:t xml:space="preserve">Table </w:t>
      </w:r>
      <w:r w:rsidR="00386F9E">
        <w:fldChar w:fldCharType="begin"/>
      </w:r>
      <w:r>
        <w:instrText xml:space="preserve"> SEQ Table \* ARABIC </w:instrText>
      </w:r>
      <w:r w:rsidR="00386F9E">
        <w:fldChar w:fldCharType="separate"/>
      </w:r>
      <w:r w:rsidR="00FE38F8">
        <w:rPr>
          <w:noProof/>
        </w:rPr>
        <w:t>12</w:t>
      </w:r>
      <w:r w:rsidR="00386F9E">
        <w:fldChar w:fldCharType="end"/>
      </w:r>
      <w:r>
        <w:t xml:space="preserve"> </w:t>
      </w:r>
      <w:r w:rsidR="00F5762D" w:rsidRPr="00CB783F">
        <w:rPr>
          <w:rFonts w:cs="Arial"/>
          <w:b w:val="0"/>
          <w:i/>
          <w:iCs/>
        </w:rPr>
        <w:t>Summary of comments received durin</w:t>
      </w:r>
      <w:r w:rsidR="00CB783F">
        <w:rPr>
          <w:rFonts w:cs="Arial"/>
          <w:b w:val="0"/>
          <w:i/>
          <w:iCs/>
        </w:rPr>
        <w:t>g the stakeholder consultations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2134"/>
        <w:gridCol w:w="3973"/>
      </w:tblGrid>
      <w:tr w:rsidR="00F5762D" w:rsidRPr="0003707C" w14:paraId="587EBD4F" w14:textId="77777777" w:rsidTr="00F5762D">
        <w:trPr>
          <w:jc w:val="center"/>
        </w:trPr>
        <w:tc>
          <w:tcPr>
            <w:tcW w:w="1829" w:type="pct"/>
            <w:shd w:val="clear" w:color="auto" w:fill="D9D9D9"/>
          </w:tcPr>
          <w:p w14:paraId="5DFE5174" w14:textId="77777777" w:rsidR="00F5762D" w:rsidRPr="0003707C" w:rsidRDefault="00F5762D" w:rsidP="00102BAE">
            <w:pPr>
              <w:rPr>
                <w:rFonts w:cs="Arial"/>
                <w:b/>
              </w:rPr>
            </w:pPr>
            <w:r w:rsidRPr="0003707C">
              <w:rPr>
                <w:rFonts w:cs="Arial"/>
                <w:b/>
              </w:rPr>
              <w:t>Stakeholder comment</w:t>
            </w:r>
          </w:p>
        </w:tc>
        <w:tc>
          <w:tcPr>
            <w:tcW w:w="1108" w:type="pct"/>
            <w:shd w:val="clear" w:color="auto" w:fill="D9D9D9"/>
          </w:tcPr>
          <w:p w14:paraId="0087AA1C" w14:textId="77777777" w:rsidR="00F5762D" w:rsidRPr="0003707C" w:rsidRDefault="00F5762D" w:rsidP="00102BAE">
            <w:pPr>
              <w:rPr>
                <w:rFonts w:cs="Arial"/>
                <w:b/>
              </w:rPr>
            </w:pPr>
            <w:r w:rsidRPr="0003707C">
              <w:rPr>
                <w:rFonts w:cs="Arial"/>
                <w:b/>
              </w:rPr>
              <w:t>Was comment taken into account (Yes/ No)?</w:t>
            </w:r>
          </w:p>
        </w:tc>
        <w:tc>
          <w:tcPr>
            <w:tcW w:w="2063" w:type="pct"/>
            <w:shd w:val="clear" w:color="auto" w:fill="D9D9D9"/>
          </w:tcPr>
          <w:p w14:paraId="6F9594EA" w14:textId="77777777" w:rsidR="00F5762D" w:rsidRPr="0003707C" w:rsidRDefault="00F5762D" w:rsidP="00102BAE">
            <w:pPr>
              <w:rPr>
                <w:rFonts w:cs="Arial"/>
                <w:b/>
              </w:rPr>
            </w:pPr>
            <w:r w:rsidRPr="0003707C">
              <w:rPr>
                <w:rFonts w:cs="Arial"/>
                <w:b/>
              </w:rPr>
              <w:t>Explanation (Why? How?)</w:t>
            </w:r>
          </w:p>
        </w:tc>
      </w:tr>
      <w:tr w:rsidR="00F5762D" w:rsidRPr="0003707C" w14:paraId="72E4FA4C" w14:textId="77777777" w:rsidTr="00F5762D">
        <w:trPr>
          <w:jc w:val="center"/>
        </w:trPr>
        <w:tc>
          <w:tcPr>
            <w:tcW w:w="1829" w:type="pct"/>
          </w:tcPr>
          <w:p w14:paraId="11315F16" w14:textId="77777777" w:rsidR="00F5762D" w:rsidRPr="0003707C" w:rsidRDefault="00F5762D" w:rsidP="00102BAE">
            <w:pPr>
              <w:rPr>
                <w:rFonts w:cs="Arial"/>
                <w:b/>
              </w:rPr>
            </w:pPr>
            <w:r w:rsidRPr="0003707C">
              <w:rPr>
                <w:rFonts w:cs="Arial"/>
              </w:rPr>
              <w:t>Poor construction could lead to effluent seepage into the groundwater</w:t>
            </w:r>
          </w:p>
        </w:tc>
        <w:tc>
          <w:tcPr>
            <w:tcW w:w="1108" w:type="pct"/>
          </w:tcPr>
          <w:p w14:paraId="2E198B3C" w14:textId="77777777" w:rsidR="00F5762D" w:rsidRPr="0003707C" w:rsidRDefault="00F5762D" w:rsidP="00102BAE">
            <w:pPr>
              <w:rPr>
                <w:rFonts w:cs="Arial"/>
              </w:rPr>
            </w:pPr>
            <w:r w:rsidRPr="0003707C">
              <w:rPr>
                <w:rFonts w:cs="Arial"/>
              </w:rPr>
              <w:t>Yes</w:t>
            </w:r>
          </w:p>
        </w:tc>
        <w:tc>
          <w:tcPr>
            <w:tcW w:w="2063" w:type="pct"/>
          </w:tcPr>
          <w:p w14:paraId="24FF5823" w14:textId="214230C6" w:rsidR="00F5762D" w:rsidRPr="0003707C" w:rsidRDefault="00F5762D" w:rsidP="006F04B1">
            <w:pPr>
              <w:rPr>
                <w:rFonts w:cs="Arial"/>
                <w:b/>
              </w:rPr>
            </w:pPr>
            <w:r w:rsidRPr="0003707C">
              <w:rPr>
                <w:rFonts w:cs="Arial"/>
              </w:rPr>
              <w:t>It was agreed that for the KENDBIP</w:t>
            </w:r>
            <w:r w:rsidR="00537702">
              <w:rPr>
                <w:rStyle w:val="FootnoteReference"/>
                <w:rFonts w:cs="Arial"/>
              </w:rPr>
              <w:footnoteReference w:id="40"/>
            </w:r>
            <w:r w:rsidRPr="0003707C">
              <w:rPr>
                <w:rFonts w:cs="Arial"/>
              </w:rPr>
              <w:t xml:space="preserve"> </w:t>
            </w:r>
            <w:r w:rsidR="006F04B1">
              <w:rPr>
                <w:rFonts w:cs="Arial"/>
              </w:rPr>
              <w:t>p</w:t>
            </w:r>
            <w:r w:rsidRPr="0003707C">
              <w:rPr>
                <w:rFonts w:cs="Arial"/>
              </w:rPr>
              <w:t>roject this was a relatively low risk considering the quality control procedures required and training provided to all masons.</w:t>
            </w:r>
          </w:p>
        </w:tc>
      </w:tr>
      <w:tr w:rsidR="00F5762D" w:rsidRPr="0003707C" w14:paraId="7D6C81EC" w14:textId="77777777" w:rsidTr="00F5762D">
        <w:trPr>
          <w:jc w:val="center"/>
        </w:trPr>
        <w:tc>
          <w:tcPr>
            <w:tcW w:w="1829" w:type="pct"/>
          </w:tcPr>
          <w:p w14:paraId="55632FAB" w14:textId="77777777" w:rsidR="00F5762D" w:rsidRPr="0003707C" w:rsidRDefault="00F5762D" w:rsidP="00102BAE">
            <w:pPr>
              <w:rPr>
                <w:rFonts w:cs="Arial"/>
                <w:b/>
              </w:rPr>
            </w:pPr>
            <w:r w:rsidRPr="0003707C">
              <w:rPr>
                <w:rFonts w:cs="Arial"/>
              </w:rPr>
              <w:t>It was mentioned that the extra water required by the biogas system might put added pressure on household’s water resources</w:t>
            </w:r>
          </w:p>
        </w:tc>
        <w:tc>
          <w:tcPr>
            <w:tcW w:w="1108" w:type="pct"/>
          </w:tcPr>
          <w:p w14:paraId="592888EA" w14:textId="77777777" w:rsidR="00F5762D" w:rsidRPr="0003707C" w:rsidRDefault="00F5762D" w:rsidP="00102BAE">
            <w:pPr>
              <w:rPr>
                <w:rFonts w:cs="Arial"/>
              </w:rPr>
            </w:pPr>
            <w:r w:rsidRPr="0003707C">
              <w:rPr>
                <w:rFonts w:cs="Arial"/>
              </w:rPr>
              <w:t>Yes</w:t>
            </w:r>
          </w:p>
        </w:tc>
        <w:tc>
          <w:tcPr>
            <w:tcW w:w="2063" w:type="pct"/>
          </w:tcPr>
          <w:p w14:paraId="03195207" w14:textId="77777777" w:rsidR="00F5762D" w:rsidRPr="0003707C" w:rsidRDefault="00F5762D" w:rsidP="00102BAE">
            <w:pPr>
              <w:rPr>
                <w:rFonts w:cs="Arial"/>
                <w:b/>
              </w:rPr>
            </w:pPr>
            <w:r w:rsidRPr="0003707C">
              <w:rPr>
                <w:rFonts w:cs="Arial"/>
              </w:rPr>
              <w:t>Agreed this can be considered a minor risk as these systems would be installed in areas where there is a ready supply of water. The demands of water from each biogas system are also not extremely high, and a decreased rate of deforestation would help to improve watersheds.</w:t>
            </w:r>
          </w:p>
        </w:tc>
      </w:tr>
      <w:tr w:rsidR="00F5762D" w:rsidRPr="0003707C" w14:paraId="4D758A41" w14:textId="77777777" w:rsidTr="00F5762D">
        <w:trPr>
          <w:jc w:val="center"/>
        </w:trPr>
        <w:tc>
          <w:tcPr>
            <w:tcW w:w="1829" w:type="pct"/>
          </w:tcPr>
          <w:p w14:paraId="46C14175" w14:textId="77777777" w:rsidR="00F5762D" w:rsidRPr="0003707C" w:rsidRDefault="00F5762D" w:rsidP="00102BAE">
            <w:pPr>
              <w:rPr>
                <w:rFonts w:cs="Arial"/>
                <w:b/>
              </w:rPr>
            </w:pPr>
            <w:r w:rsidRPr="0003707C">
              <w:rPr>
                <w:rFonts w:cs="Arial"/>
              </w:rPr>
              <w:t>The project will result in increased access to clean energy services however biogas systems even subsidised will not be affordable to the poorest.</w:t>
            </w:r>
          </w:p>
        </w:tc>
        <w:tc>
          <w:tcPr>
            <w:tcW w:w="1108" w:type="pct"/>
          </w:tcPr>
          <w:p w14:paraId="7EF906AF" w14:textId="77777777" w:rsidR="00F5762D" w:rsidRPr="0003707C" w:rsidRDefault="00F5762D" w:rsidP="00102BAE">
            <w:pPr>
              <w:rPr>
                <w:rFonts w:cs="Arial"/>
              </w:rPr>
            </w:pPr>
            <w:r w:rsidRPr="0003707C">
              <w:rPr>
                <w:rFonts w:cs="Arial"/>
              </w:rPr>
              <w:t>No</w:t>
            </w:r>
          </w:p>
        </w:tc>
        <w:tc>
          <w:tcPr>
            <w:tcW w:w="2063" w:type="pct"/>
          </w:tcPr>
          <w:p w14:paraId="328257F8" w14:textId="77777777" w:rsidR="00F5762D" w:rsidRPr="0003707C" w:rsidRDefault="00F5762D" w:rsidP="00102BAE">
            <w:pPr>
              <w:rPr>
                <w:rFonts w:cs="Arial"/>
                <w:b/>
              </w:rPr>
            </w:pPr>
            <w:r w:rsidRPr="0003707C">
              <w:rPr>
                <w:rFonts w:cs="Arial"/>
              </w:rPr>
              <w:t>The project already offers biogas digesters at a reduced cost and works with microfinance institutions to allow farmers the ability to access capital for the purchase of a digester.</w:t>
            </w:r>
          </w:p>
        </w:tc>
      </w:tr>
      <w:tr w:rsidR="00F5762D" w:rsidRPr="0003707C" w14:paraId="484506FA" w14:textId="77777777" w:rsidTr="00F5762D">
        <w:trPr>
          <w:jc w:val="center"/>
        </w:trPr>
        <w:tc>
          <w:tcPr>
            <w:tcW w:w="1829" w:type="pct"/>
          </w:tcPr>
          <w:p w14:paraId="3145AC31" w14:textId="77777777" w:rsidR="00F5762D" w:rsidRPr="0003707C" w:rsidRDefault="00F5762D" w:rsidP="00102BAE">
            <w:pPr>
              <w:rPr>
                <w:rFonts w:cs="Arial"/>
                <w:b/>
              </w:rPr>
            </w:pPr>
            <w:r w:rsidRPr="0003707C">
              <w:rPr>
                <w:rFonts w:cs="Arial"/>
              </w:rPr>
              <w:t>Do you have a standard for quality control?</w:t>
            </w:r>
          </w:p>
        </w:tc>
        <w:tc>
          <w:tcPr>
            <w:tcW w:w="1108" w:type="pct"/>
          </w:tcPr>
          <w:p w14:paraId="58EB9FB4" w14:textId="77777777" w:rsidR="00F5762D" w:rsidRPr="0003707C" w:rsidRDefault="00F5762D" w:rsidP="00102BAE">
            <w:pPr>
              <w:rPr>
                <w:rFonts w:cs="Arial"/>
              </w:rPr>
            </w:pPr>
            <w:r w:rsidRPr="0003707C">
              <w:rPr>
                <w:rFonts w:cs="Arial"/>
              </w:rPr>
              <w:t>Yes</w:t>
            </w:r>
          </w:p>
        </w:tc>
        <w:tc>
          <w:tcPr>
            <w:tcW w:w="2063" w:type="pct"/>
          </w:tcPr>
          <w:p w14:paraId="625A964E" w14:textId="77777777" w:rsidR="00F5762D" w:rsidRPr="0003707C" w:rsidRDefault="00F5762D" w:rsidP="00165D75">
            <w:pPr>
              <w:rPr>
                <w:rFonts w:cs="Arial"/>
                <w:b/>
              </w:rPr>
            </w:pPr>
            <w:r w:rsidRPr="0003707C">
              <w:rPr>
                <w:rFonts w:cs="Arial"/>
              </w:rPr>
              <w:t>There are a number of different quality controls built into the programme. On the carbon credits side of the project it will be registered with Gold Standard. also have a number of quality control checks to ensure quality of construction. When new digesters are included for other VPAs they will need to go through a quality check to ensure they will have a long lifetime.</w:t>
            </w:r>
          </w:p>
        </w:tc>
      </w:tr>
      <w:tr w:rsidR="00F5762D" w:rsidRPr="0003707C" w14:paraId="510CA088" w14:textId="77777777" w:rsidTr="00F5762D">
        <w:trPr>
          <w:jc w:val="center"/>
        </w:trPr>
        <w:tc>
          <w:tcPr>
            <w:tcW w:w="1829" w:type="pct"/>
          </w:tcPr>
          <w:p w14:paraId="1B297A17" w14:textId="77777777" w:rsidR="00F5762D" w:rsidRPr="0003707C" w:rsidRDefault="00F5762D" w:rsidP="00102BAE">
            <w:pPr>
              <w:rPr>
                <w:rFonts w:cs="Arial"/>
                <w:b/>
              </w:rPr>
            </w:pPr>
            <w:r w:rsidRPr="0003707C">
              <w:rPr>
                <w:rFonts w:cs="Arial"/>
              </w:rPr>
              <w:lastRenderedPageBreak/>
              <w:t>Where does carbon credit go?</w:t>
            </w:r>
          </w:p>
        </w:tc>
        <w:tc>
          <w:tcPr>
            <w:tcW w:w="1108" w:type="pct"/>
          </w:tcPr>
          <w:p w14:paraId="213D92F5" w14:textId="77777777" w:rsidR="00F5762D" w:rsidRPr="0003707C" w:rsidRDefault="00F5762D" w:rsidP="00102BAE">
            <w:pPr>
              <w:rPr>
                <w:rFonts w:cs="Arial"/>
              </w:rPr>
            </w:pPr>
            <w:r w:rsidRPr="0003707C">
              <w:rPr>
                <w:rFonts w:cs="Arial"/>
              </w:rPr>
              <w:t>No – only a clarification was required</w:t>
            </w:r>
          </w:p>
        </w:tc>
        <w:tc>
          <w:tcPr>
            <w:tcW w:w="2063" w:type="pct"/>
          </w:tcPr>
          <w:p w14:paraId="523B893C" w14:textId="0699AC48" w:rsidR="00F5762D" w:rsidRPr="0003707C" w:rsidRDefault="00F5762D" w:rsidP="00165D75">
            <w:pPr>
              <w:rPr>
                <w:rFonts w:cs="Arial"/>
                <w:b/>
              </w:rPr>
            </w:pPr>
            <w:r w:rsidRPr="0003707C">
              <w:rPr>
                <w:rFonts w:cs="Arial"/>
              </w:rPr>
              <w:t>The households own the carbon credits initially, but in providing a subsidy the ownership of the credit is transferred to KENDBIP. Currently, we are working on tools to explain the process of the carbon credit transfer to households, it is intended this will be done in a pictogram in English and local languag</w:t>
            </w:r>
            <w:r w:rsidR="00537702">
              <w:rPr>
                <w:rFonts w:cs="Arial"/>
              </w:rPr>
              <w:t>e.</w:t>
            </w:r>
            <w:r w:rsidR="00537702">
              <w:rPr>
                <w:rStyle w:val="FootnoteReference"/>
                <w:rFonts w:cs="Arial"/>
              </w:rPr>
              <w:footnoteReference w:id="41"/>
            </w:r>
            <w:r w:rsidRPr="0003707C">
              <w:rPr>
                <w:rFonts w:cs="Arial"/>
              </w:rPr>
              <w:t xml:space="preserve"> ACES-Biogas is working on ways to ensure that benefits will be passed on to households.</w:t>
            </w:r>
            <w:r w:rsidR="00537702">
              <w:rPr>
                <w:rStyle w:val="FootnoteReference"/>
                <w:rFonts w:cs="Arial"/>
              </w:rPr>
              <w:footnoteReference w:id="42"/>
            </w:r>
          </w:p>
        </w:tc>
      </w:tr>
      <w:tr w:rsidR="00F5762D" w:rsidRPr="0003707C" w14:paraId="653463D4" w14:textId="77777777" w:rsidTr="00F5762D">
        <w:trPr>
          <w:jc w:val="center"/>
        </w:trPr>
        <w:tc>
          <w:tcPr>
            <w:tcW w:w="1829" w:type="pct"/>
          </w:tcPr>
          <w:p w14:paraId="6C776429" w14:textId="77777777" w:rsidR="00F5762D" w:rsidRPr="0003707C" w:rsidRDefault="00F5762D" w:rsidP="00102BAE">
            <w:pPr>
              <w:rPr>
                <w:rFonts w:cs="Arial"/>
                <w:b/>
              </w:rPr>
            </w:pPr>
            <w:r w:rsidRPr="0003707C">
              <w:rPr>
                <w:rFonts w:cs="Arial"/>
              </w:rPr>
              <w:t>Why does the programme only cover small domestic installations would it not be more effective at a larger scale on community or industrial level?</w:t>
            </w:r>
          </w:p>
        </w:tc>
        <w:tc>
          <w:tcPr>
            <w:tcW w:w="1108" w:type="pct"/>
          </w:tcPr>
          <w:p w14:paraId="3B4A622B" w14:textId="77777777" w:rsidR="00F5762D" w:rsidRPr="0003707C" w:rsidRDefault="00F5762D" w:rsidP="00102BAE">
            <w:pPr>
              <w:rPr>
                <w:rFonts w:cs="Arial"/>
              </w:rPr>
            </w:pPr>
            <w:r w:rsidRPr="0003707C">
              <w:rPr>
                <w:rFonts w:cs="Arial"/>
              </w:rPr>
              <w:t>No – only a clarification was needed.</w:t>
            </w:r>
          </w:p>
        </w:tc>
        <w:tc>
          <w:tcPr>
            <w:tcW w:w="2063" w:type="pct"/>
          </w:tcPr>
          <w:p w14:paraId="2FA4ED67" w14:textId="77777777" w:rsidR="00F5762D" w:rsidRPr="0003707C" w:rsidRDefault="00F5762D" w:rsidP="00102BAE">
            <w:pPr>
              <w:rPr>
                <w:rFonts w:cs="Arial"/>
                <w:b/>
              </w:rPr>
            </w:pPr>
            <w:r w:rsidRPr="0003707C">
              <w:rPr>
                <w:rFonts w:cs="Arial"/>
              </w:rPr>
              <w:t>The programme has been initially designed and funded for domestic installations and therefore we are limited in scope. In the future we would be keen to promote these larger scale digesters.</w:t>
            </w:r>
          </w:p>
        </w:tc>
      </w:tr>
    </w:tbl>
    <w:p w14:paraId="25E6ACEF" w14:textId="77777777" w:rsidR="00F5762D" w:rsidRPr="000C7CA3" w:rsidRDefault="00F5762D" w:rsidP="00464B7C">
      <w:pPr>
        <w:rPr>
          <w:rFonts w:cs="Arial"/>
          <w:lang w:eastAsia="en-US"/>
        </w:rPr>
      </w:pPr>
    </w:p>
    <w:p w14:paraId="1D851C67" w14:textId="77777777" w:rsidR="00464B7C" w:rsidRPr="000C7CA3" w:rsidRDefault="00C00A60" w:rsidP="001E0142">
      <w:pPr>
        <w:pStyle w:val="SDMPDDPoASubSection1"/>
        <w:numPr>
          <w:ilvl w:val="1"/>
          <w:numId w:val="30"/>
        </w:numPr>
      </w:pPr>
      <w:bookmarkStart w:id="21" w:name="_Ref478484124"/>
      <w:r>
        <w:t>C</w:t>
      </w:r>
      <w:r w:rsidR="00464B7C" w:rsidRPr="000C7CA3">
        <w:t>onsideration of comments received</w:t>
      </w:r>
      <w:bookmarkEnd w:id="21"/>
    </w:p>
    <w:p w14:paraId="169F4B26" w14:textId="77777777" w:rsidR="00464B7C" w:rsidRPr="000C7CA3" w:rsidRDefault="00464B7C" w:rsidP="00464B7C">
      <w:pPr>
        <w:rPr>
          <w:rFonts w:cs="Arial"/>
          <w:lang w:eastAsia="en-US"/>
        </w:rPr>
      </w:pPr>
      <w:r w:rsidRPr="000C7CA3">
        <w:rPr>
          <w:rFonts w:cs="Arial"/>
          <w:lang w:eastAsia="en-US"/>
        </w:rPr>
        <w:t>&gt;&gt;</w:t>
      </w:r>
    </w:p>
    <w:p w14:paraId="7812BF54" w14:textId="77777777" w:rsidR="008A6B85" w:rsidRPr="004F7C48" w:rsidRDefault="008A6B85" w:rsidP="008A6B85">
      <w:pPr>
        <w:rPr>
          <w:rFonts w:cs="Arial"/>
        </w:rPr>
      </w:pPr>
      <w:bookmarkStart w:id="22" w:name="_Toc315960446"/>
      <w:bookmarkStart w:id="23" w:name="_Ref316927097"/>
      <w:r w:rsidRPr="006505E8">
        <w:rPr>
          <w:rFonts w:cs="Arial"/>
        </w:rPr>
        <w:t xml:space="preserve">All comments received were taken into account within the overall design of the VPA. No comments required modifying the design of the VPA. </w:t>
      </w:r>
    </w:p>
    <w:p w14:paraId="0242E125" w14:textId="77777777" w:rsidR="005E608C" w:rsidRPr="000C7CA3" w:rsidRDefault="005E608C" w:rsidP="00336916">
      <w:pPr>
        <w:rPr>
          <w:rFonts w:cs="Arial"/>
          <w:lang w:eastAsia="en-US"/>
        </w:rPr>
      </w:pPr>
    </w:p>
    <w:p w14:paraId="5AC40402" w14:textId="77777777" w:rsidR="00ED16E3" w:rsidRDefault="00ED16E3" w:rsidP="001E0142">
      <w:pPr>
        <w:pStyle w:val="SDMPDDPoASection"/>
        <w:numPr>
          <w:ilvl w:val="0"/>
          <w:numId w:val="30"/>
        </w:numPr>
        <w:tabs>
          <w:tab w:val="num" w:pos="2835"/>
        </w:tabs>
        <w:ind w:left="1729" w:hanging="1729"/>
      </w:pPr>
      <w:r w:rsidRPr="0018377C">
        <w:t>Eligibility for inclusion</w:t>
      </w:r>
    </w:p>
    <w:p w14:paraId="2CDAAA14" w14:textId="77777777" w:rsidR="00AF33DA" w:rsidRDefault="00AF33DA" w:rsidP="00AF33DA">
      <w:pPr>
        <w:pStyle w:val="SDMPDDPoASection"/>
      </w:pPr>
    </w:p>
    <w:p w14:paraId="5BBB9A94" w14:textId="77777777" w:rsidR="00AF33DA" w:rsidRPr="00AF33DA" w:rsidRDefault="00AF33DA" w:rsidP="00AF33DA">
      <w:pPr>
        <w:rPr>
          <w:rFonts w:cs="Arial"/>
        </w:rPr>
      </w:pPr>
      <w:r w:rsidRPr="00AF33DA">
        <w:rPr>
          <w:rFonts w:cs="Arial"/>
        </w:rPr>
        <w:t>This VPA follows the stated goal of the PoA and eligibility criteria for inclusion in the PoA as determined in Section B.2. of the PoA-DD:</w:t>
      </w:r>
    </w:p>
    <w:p w14:paraId="47260D63" w14:textId="77777777" w:rsidR="00AF33DA" w:rsidRPr="00B53A36" w:rsidRDefault="00B53A36" w:rsidP="00CB783F">
      <w:pPr>
        <w:pStyle w:val="Caption"/>
        <w:ind w:hanging="1956"/>
        <w:rPr>
          <w:i/>
        </w:rPr>
      </w:pPr>
      <w:r>
        <w:lastRenderedPageBreak/>
        <w:t xml:space="preserve">Table </w:t>
      </w:r>
      <w:r w:rsidR="00386F9E">
        <w:fldChar w:fldCharType="begin"/>
      </w:r>
      <w:r>
        <w:instrText xml:space="preserve"> SEQ Table \* ARABIC </w:instrText>
      </w:r>
      <w:r w:rsidR="00386F9E">
        <w:fldChar w:fldCharType="separate"/>
      </w:r>
      <w:r w:rsidR="00FE38F8">
        <w:rPr>
          <w:noProof/>
        </w:rPr>
        <w:t>13</w:t>
      </w:r>
      <w:r w:rsidR="00386F9E">
        <w:fldChar w:fldCharType="end"/>
      </w:r>
      <w:r>
        <w:t xml:space="preserve"> </w:t>
      </w:r>
      <w:r w:rsidRPr="00CB783F">
        <w:rPr>
          <w:b w:val="0"/>
          <w:i/>
        </w:rPr>
        <w:t>VPA eligibility check</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60" w:firstRow="1" w:lastRow="1" w:firstColumn="0" w:lastColumn="1" w:noHBand="0" w:noVBand="0"/>
      </w:tblPr>
      <w:tblGrid>
        <w:gridCol w:w="561"/>
        <w:gridCol w:w="2267"/>
        <w:gridCol w:w="2267"/>
        <w:gridCol w:w="2267"/>
        <w:gridCol w:w="2267"/>
      </w:tblGrid>
      <w:tr w:rsidR="000250BE" w:rsidRPr="000C7CA3" w14:paraId="18438129" w14:textId="77777777" w:rsidTr="00E14C9D">
        <w:trPr>
          <w:cantSplit/>
          <w:tblHeader/>
        </w:trPr>
        <w:tc>
          <w:tcPr>
            <w:tcW w:w="561" w:type="dxa"/>
            <w:shd w:val="clear" w:color="auto" w:fill="D9D9D9"/>
            <w:tcMar>
              <w:left w:w="57" w:type="dxa"/>
              <w:right w:w="57" w:type="dxa"/>
            </w:tcMar>
            <w:vAlign w:val="center"/>
          </w:tcPr>
          <w:p w14:paraId="19DC5ED7" w14:textId="77777777" w:rsidR="000250BE" w:rsidRPr="00032583" w:rsidRDefault="000250BE" w:rsidP="008E261E">
            <w:pPr>
              <w:jc w:val="center"/>
              <w:rPr>
                <w:b/>
                <w:sz w:val="20"/>
              </w:rPr>
            </w:pPr>
            <w:r w:rsidRPr="00032583">
              <w:rPr>
                <w:b/>
                <w:sz w:val="20"/>
              </w:rPr>
              <w:t>No.</w:t>
            </w:r>
          </w:p>
        </w:tc>
        <w:tc>
          <w:tcPr>
            <w:tcW w:w="2267" w:type="dxa"/>
            <w:shd w:val="clear" w:color="auto" w:fill="D9D9D9"/>
            <w:tcMar>
              <w:left w:w="57" w:type="dxa"/>
              <w:right w:w="57" w:type="dxa"/>
            </w:tcMar>
            <w:vAlign w:val="center"/>
          </w:tcPr>
          <w:p w14:paraId="362F29B6" w14:textId="77777777" w:rsidR="000250BE" w:rsidRPr="00032583" w:rsidRDefault="000250BE" w:rsidP="008E261E">
            <w:pPr>
              <w:jc w:val="center"/>
              <w:rPr>
                <w:b/>
                <w:sz w:val="20"/>
              </w:rPr>
            </w:pPr>
            <w:r w:rsidRPr="00032583">
              <w:rPr>
                <w:b/>
                <w:sz w:val="20"/>
              </w:rPr>
              <w:t>Eligibility criterion - Category</w:t>
            </w:r>
          </w:p>
        </w:tc>
        <w:tc>
          <w:tcPr>
            <w:tcW w:w="2267" w:type="dxa"/>
            <w:shd w:val="clear" w:color="auto" w:fill="D9D9D9"/>
            <w:tcMar>
              <w:left w:w="57" w:type="dxa"/>
              <w:right w:w="57" w:type="dxa"/>
            </w:tcMar>
            <w:vAlign w:val="center"/>
          </w:tcPr>
          <w:p w14:paraId="4A5FE928" w14:textId="77777777" w:rsidR="000250BE" w:rsidRPr="00032583" w:rsidRDefault="000250BE" w:rsidP="008E261E">
            <w:pPr>
              <w:jc w:val="center"/>
              <w:rPr>
                <w:b/>
                <w:sz w:val="20"/>
              </w:rPr>
            </w:pPr>
            <w:r w:rsidRPr="00032583">
              <w:rPr>
                <w:b/>
                <w:sz w:val="20"/>
              </w:rPr>
              <w:t>Eligibility criterion - Required condition</w:t>
            </w:r>
          </w:p>
        </w:tc>
        <w:tc>
          <w:tcPr>
            <w:tcW w:w="2267" w:type="dxa"/>
            <w:shd w:val="clear" w:color="auto" w:fill="D9D9D9"/>
            <w:tcMar>
              <w:left w:w="57" w:type="dxa"/>
              <w:right w:w="57" w:type="dxa"/>
            </w:tcMar>
            <w:vAlign w:val="center"/>
          </w:tcPr>
          <w:p w14:paraId="5C808CA7" w14:textId="77777777" w:rsidR="000250BE" w:rsidRPr="00032583" w:rsidRDefault="000250BE" w:rsidP="008E261E">
            <w:pPr>
              <w:jc w:val="center"/>
              <w:rPr>
                <w:b/>
                <w:sz w:val="20"/>
              </w:rPr>
            </w:pPr>
            <w:r w:rsidRPr="00032583">
              <w:rPr>
                <w:b/>
                <w:sz w:val="20"/>
              </w:rPr>
              <w:t>Supporting evidence for inclusion</w:t>
            </w:r>
          </w:p>
        </w:tc>
        <w:tc>
          <w:tcPr>
            <w:tcW w:w="2267" w:type="dxa"/>
            <w:shd w:val="clear" w:color="auto" w:fill="D9D9D9"/>
            <w:tcMar>
              <w:left w:w="57" w:type="dxa"/>
              <w:right w:w="57" w:type="dxa"/>
            </w:tcMar>
            <w:vAlign w:val="center"/>
          </w:tcPr>
          <w:p w14:paraId="4AA0DCCD" w14:textId="77777777" w:rsidR="000250BE" w:rsidRPr="00032583" w:rsidRDefault="000250BE" w:rsidP="008E261E">
            <w:pPr>
              <w:jc w:val="center"/>
              <w:rPr>
                <w:b/>
                <w:sz w:val="20"/>
              </w:rPr>
            </w:pPr>
            <w:r w:rsidRPr="00032583">
              <w:rPr>
                <w:b/>
                <w:sz w:val="20"/>
              </w:rPr>
              <w:t xml:space="preserve">Description of this </w:t>
            </w:r>
            <w:r w:rsidR="006C4F9A">
              <w:rPr>
                <w:b/>
                <w:sz w:val="20"/>
              </w:rPr>
              <w:t>VPA</w:t>
            </w:r>
            <w:r w:rsidRPr="00032583">
              <w:rPr>
                <w:b/>
                <w:sz w:val="20"/>
              </w:rPr>
              <w:t xml:space="preserve"> in relation to the criterion and supporting evidence</w:t>
            </w:r>
          </w:p>
        </w:tc>
      </w:tr>
      <w:tr w:rsidR="000250BE" w:rsidRPr="000C7CA3" w14:paraId="48FC3F0F" w14:textId="77777777" w:rsidTr="00E14C9D">
        <w:trPr>
          <w:cantSplit/>
        </w:trPr>
        <w:tc>
          <w:tcPr>
            <w:tcW w:w="561" w:type="dxa"/>
            <w:shd w:val="clear" w:color="auto" w:fill="auto"/>
            <w:tcMar>
              <w:left w:w="57" w:type="dxa"/>
              <w:right w:w="57" w:type="dxa"/>
            </w:tcMar>
          </w:tcPr>
          <w:p w14:paraId="70BECFD1" w14:textId="77777777" w:rsidR="000250BE" w:rsidRPr="008E261E" w:rsidRDefault="000250BE" w:rsidP="008E261E">
            <w:pPr>
              <w:jc w:val="left"/>
              <w:rPr>
                <w:sz w:val="18"/>
              </w:rPr>
            </w:pPr>
            <w:r w:rsidRPr="008E261E">
              <w:rPr>
                <w:sz w:val="18"/>
              </w:rPr>
              <w:t>1</w:t>
            </w:r>
          </w:p>
        </w:tc>
        <w:tc>
          <w:tcPr>
            <w:tcW w:w="2267" w:type="dxa"/>
            <w:shd w:val="clear" w:color="auto" w:fill="auto"/>
            <w:tcMar>
              <w:left w:w="57" w:type="dxa"/>
              <w:right w:w="57" w:type="dxa"/>
            </w:tcMar>
          </w:tcPr>
          <w:p w14:paraId="63378188" w14:textId="77777777" w:rsidR="000250BE" w:rsidRPr="00E14C9D" w:rsidRDefault="008E261E" w:rsidP="00E14C9D">
            <w:pPr>
              <w:jc w:val="left"/>
              <w:rPr>
                <w:sz w:val="20"/>
              </w:rPr>
            </w:pPr>
            <w:r w:rsidRPr="00E14C9D">
              <w:rPr>
                <w:sz w:val="20"/>
              </w:rPr>
              <w:t>The geographical boundary of the VPA including any time-induced boundary consistent with the geographical boundary set in the PoA</w:t>
            </w:r>
          </w:p>
        </w:tc>
        <w:tc>
          <w:tcPr>
            <w:tcW w:w="2267" w:type="dxa"/>
            <w:shd w:val="clear" w:color="auto" w:fill="auto"/>
            <w:tcMar>
              <w:left w:w="57" w:type="dxa"/>
              <w:right w:w="57" w:type="dxa"/>
            </w:tcMar>
          </w:tcPr>
          <w:p w14:paraId="63711AF1" w14:textId="77777777" w:rsidR="008E261E" w:rsidRPr="00E14C9D" w:rsidRDefault="008E261E" w:rsidP="00E14C9D">
            <w:pPr>
              <w:jc w:val="left"/>
              <w:rPr>
                <w:sz w:val="20"/>
              </w:rPr>
            </w:pPr>
            <w:r w:rsidRPr="00E14C9D">
              <w:rPr>
                <w:sz w:val="20"/>
              </w:rPr>
              <w:t>All biogas systems included in the VPA will demonstrate they fall within the geographical boundary of the PoA through:</w:t>
            </w:r>
          </w:p>
          <w:p w14:paraId="052375E8" w14:textId="77777777" w:rsidR="008E261E" w:rsidRPr="00E14C9D" w:rsidRDefault="008E261E" w:rsidP="007A2D3E">
            <w:pPr>
              <w:numPr>
                <w:ilvl w:val="0"/>
                <w:numId w:val="41"/>
              </w:numPr>
              <w:ind w:left="421"/>
              <w:jc w:val="left"/>
              <w:rPr>
                <w:sz w:val="20"/>
              </w:rPr>
            </w:pPr>
            <w:r w:rsidRPr="00E14C9D">
              <w:rPr>
                <w:sz w:val="20"/>
              </w:rPr>
              <w:t xml:space="preserve">Recording the address/location of the system in the Sales Agreement </w:t>
            </w:r>
          </w:p>
          <w:p w14:paraId="3C6EFD67" w14:textId="77777777" w:rsidR="008E261E" w:rsidRPr="00E14C9D" w:rsidRDefault="008E261E" w:rsidP="007A2D3E">
            <w:pPr>
              <w:numPr>
                <w:ilvl w:val="0"/>
                <w:numId w:val="41"/>
              </w:numPr>
              <w:ind w:left="421"/>
              <w:jc w:val="left"/>
              <w:rPr>
                <w:sz w:val="20"/>
              </w:rPr>
            </w:pPr>
            <w:r w:rsidRPr="00E14C9D">
              <w:rPr>
                <w:sz w:val="20"/>
              </w:rPr>
              <w:t xml:space="preserve">Recording the GPS coordinates of the systems  </w:t>
            </w:r>
          </w:p>
          <w:p w14:paraId="08FC3422" w14:textId="77777777" w:rsidR="000250BE" w:rsidRPr="00E14C9D" w:rsidRDefault="008E261E" w:rsidP="007A2D3E">
            <w:pPr>
              <w:numPr>
                <w:ilvl w:val="0"/>
                <w:numId w:val="41"/>
              </w:numPr>
              <w:ind w:left="421"/>
              <w:jc w:val="left"/>
              <w:rPr>
                <w:sz w:val="20"/>
              </w:rPr>
            </w:pPr>
            <w:r w:rsidRPr="00E14C9D">
              <w:rPr>
                <w:sz w:val="20"/>
              </w:rPr>
              <w:t>Physically attaching a Programme or VPA logo to the digester which identifies it as being part of the African Biogas Partnership Programme on a national scale.</w:t>
            </w:r>
          </w:p>
        </w:tc>
        <w:tc>
          <w:tcPr>
            <w:tcW w:w="2267" w:type="dxa"/>
            <w:shd w:val="clear" w:color="auto" w:fill="auto"/>
            <w:tcMar>
              <w:left w:w="57" w:type="dxa"/>
              <w:right w:w="57" w:type="dxa"/>
            </w:tcMar>
          </w:tcPr>
          <w:p w14:paraId="4E68BC6A" w14:textId="77777777" w:rsidR="008E261E" w:rsidRPr="00E14C9D" w:rsidRDefault="008E261E" w:rsidP="00E14C9D">
            <w:pPr>
              <w:jc w:val="left"/>
              <w:rPr>
                <w:sz w:val="20"/>
              </w:rPr>
            </w:pPr>
            <w:r w:rsidRPr="00E14C9D">
              <w:rPr>
                <w:sz w:val="20"/>
              </w:rPr>
              <w:t xml:space="preserve">One of the following documents shall be provided: </w:t>
            </w:r>
          </w:p>
          <w:p w14:paraId="231113F6" w14:textId="77777777" w:rsidR="008E261E" w:rsidRPr="00E14C9D" w:rsidRDefault="008E261E" w:rsidP="007A2D3E">
            <w:pPr>
              <w:numPr>
                <w:ilvl w:val="0"/>
                <w:numId w:val="41"/>
              </w:numPr>
              <w:ind w:left="421"/>
              <w:jc w:val="left"/>
              <w:rPr>
                <w:sz w:val="20"/>
              </w:rPr>
            </w:pPr>
            <w:r w:rsidRPr="00E14C9D">
              <w:rPr>
                <w:sz w:val="20"/>
              </w:rPr>
              <w:t xml:space="preserve">Business plan </w:t>
            </w:r>
          </w:p>
          <w:p w14:paraId="61379BF5" w14:textId="77777777" w:rsidR="008E261E" w:rsidRPr="00E14C9D" w:rsidRDefault="008E261E" w:rsidP="007A2D3E">
            <w:pPr>
              <w:numPr>
                <w:ilvl w:val="0"/>
                <w:numId w:val="41"/>
              </w:numPr>
              <w:ind w:left="421"/>
              <w:jc w:val="left"/>
              <w:rPr>
                <w:sz w:val="20"/>
              </w:rPr>
            </w:pPr>
            <w:r w:rsidRPr="00E14C9D">
              <w:rPr>
                <w:sz w:val="20"/>
              </w:rPr>
              <w:t xml:space="preserve">Implementation document </w:t>
            </w:r>
          </w:p>
          <w:p w14:paraId="2D66ECCF" w14:textId="77777777" w:rsidR="008E261E" w:rsidRPr="00E14C9D" w:rsidRDefault="008E261E" w:rsidP="007A2D3E">
            <w:pPr>
              <w:numPr>
                <w:ilvl w:val="0"/>
                <w:numId w:val="41"/>
              </w:numPr>
              <w:ind w:left="421"/>
              <w:jc w:val="left"/>
              <w:rPr>
                <w:sz w:val="20"/>
              </w:rPr>
            </w:pPr>
            <w:r w:rsidRPr="00E14C9D">
              <w:rPr>
                <w:sz w:val="20"/>
              </w:rPr>
              <w:t xml:space="preserve">Contractual agreement between CME and VPA Implementer </w:t>
            </w:r>
          </w:p>
          <w:p w14:paraId="60977CC4" w14:textId="77777777" w:rsidR="008E261E" w:rsidRPr="00E14C9D" w:rsidRDefault="008E261E" w:rsidP="007A2D3E">
            <w:pPr>
              <w:numPr>
                <w:ilvl w:val="0"/>
                <w:numId w:val="41"/>
              </w:numPr>
              <w:ind w:left="421"/>
              <w:jc w:val="left"/>
              <w:rPr>
                <w:sz w:val="20"/>
              </w:rPr>
            </w:pPr>
            <w:r w:rsidRPr="00E14C9D">
              <w:rPr>
                <w:sz w:val="20"/>
              </w:rPr>
              <w:t>Declaration from VPA implementer and confirmation check by CME</w:t>
            </w:r>
          </w:p>
          <w:p w14:paraId="2E9A548E" w14:textId="77777777" w:rsidR="000250BE" w:rsidRPr="00E14C9D" w:rsidRDefault="008E261E" w:rsidP="007A2D3E">
            <w:pPr>
              <w:numPr>
                <w:ilvl w:val="0"/>
                <w:numId w:val="41"/>
              </w:numPr>
              <w:ind w:left="421"/>
              <w:jc w:val="left"/>
              <w:rPr>
                <w:sz w:val="20"/>
              </w:rPr>
            </w:pPr>
            <w:r w:rsidRPr="00E14C9D">
              <w:rPr>
                <w:sz w:val="20"/>
              </w:rPr>
              <w:t>Sales Agreement</w:t>
            </w:r>
          </w:p>
        </w:tc>
        <w:tc>
          <w:tcPr>
            <w:tcW w:w="2267" w:type="dxa"/>
            <w:tcMar>
              <w:left w:w="57" w:type="dxa"/>
              <w:right w:w="57" w:type="dxa"/>
            </w:tcMar>
          </w:tcPr>
          <w:p w14:paraId="71AA8DE5" w14:textId="77777777" w:rsidR="00E14C9D" w:rsidRPr="00E14C9D" w:rsidRDefault="00E14C9D" w:rsidP="00E14C9D">
            <w:pPr>
              <w:jc w:val="left"/>
              <w:rPr>
                <w:sz w:val="20"/>
              </w:rPr>
            </w:pPr>
            <w:r w:rsidRPr="00E14C9D">
              <w:rPr>
                <w:sz w:val="20"/>
              </w:rPr>
              <w:t>The following document is provided:</w:t>
            </w:r>
          </w:p>
          <w:p w14:paraId="371280E1" w14:textId="77777777" w:rsidR="00E14C9D" w:rsidRPr="00E14C9D" w:rsidRDefault="00E14C9D" w:rsidP="007A2D3E">
            <w:pPr>
              <w:numPr>
                <w:ilvl w:val="0"/>
                <w:numId w:val="41"/>
              </w:numPr>
              <w:ind w:left="421"/>
              <w:jc w:val="left"/>
              <w:rPr>
                <w:sz w:val="20"/>
              </w:rPr>
            </w:pPr>
            <w:r w:rsidRPr="00E14C9D">
              <w:rPr>
                <w:sz w:val="20"/>
              </w:rPr>
              <w:t>I</w:t>
            </w:r>
            <w:r>
              <w:rPr>
                <w:sz w:val="20"/>
              </w:rPr>
              <w:t>mplementation document (</w:t>
            </w:r>
            <w:r w:rsidR="007174E0">
              <w:rPr>
                <w:sz w:val="20"/>
              </w:rPr>
              <w:t>KBP</w:t>
            </w:r>
            <w:r>
              <w:rPr>
                <w:sz w:val="20"/>
              </w:rPr>
              <w:t xml:space="preserve">) </w:t>
            </w:r>
            <w:r w:rsidRPr="00E14C9D">
              <w:rPr>
                <w:sz w:val="20"/>
              </w:rPr>
              <w:t>Programme Implementation Document ‘</w:t>
            </w:r>
          </w:p>
          <w:p w14:paraId="5BE706C9" w14:textId="13E47C74" w:rsidR="000250BE" w:rsidRPr="00E14C9D" w:rsidRDefault="007F7AC4" w:rsidP="007A2D3E">
            <w:pPr>
              <w:numPr>
                <w:ilvl w:val="0"/>
                <w:numId w:val="41"/>
              </w:numPr>
              <w:ind w:left="421"/>
              <w:jc w:val="left"/>
              <w:rPr>
                <w:sz w:val="20"/>
              </w:rPr>
            </w:pPr>
            <w:r>
              <w:rPr>
                <w:sz w:val="20"/>
              </w:rPr>
              <w:t>Ownership cer</w:t>
            </w:r>
            <w:r w:rsidRPr="00004C78">
              <w:rPr>
                <w:sz w:val="20"/>
              </w:rPr>
              <w:t>t</w:t>
            </w:r>
            <w:r>
              <w:rPr>
                <w:sz w:val="20"/>
              </w:rPr>
              <w:t>ificates</w:t>
            </w:r>
          </w:p>
        </w:tc>
      </w:tr>
      <w:tr w:rsidR="000250BE" w:rsidRPr="000C7CA3" w14:paraId="395DE337" w14:textId="77777777" w:rsidTr="00E14C9D">
        <w:trPr>
          <w:cantSplit/>
        </w:trPr>
        <w:tc>
          <w:tcPr>
            <w:tcW w:w="561" w:type="dxa"/>
            <w:shd w:val="clear" w:color="auto" w:fill="auto"/>
            <w:tcMar>
              <w:left w:w="57" w:type="dxa"/>
              <w:right w:w="57" w:type="dxa"/>
            </w:tcMar>
          </w:tcPr>
          <w:p w14:paraId="100C0DD3" w14:textId="77777777" w:rsidR="000250BE" w:rsidRPr="008E261E" w:rsidRDefault="000250BE" w:rsidP="008E261E">
            <w:pPr>
              <w:jc w:val="left"/>
              <w:rPr>
                <w:sz w:val="20"/>
              </w:rPr>
            </w:pPr>
            <w:r w:rsidRPr="008E261E">
              <w:rPr>
                <w:sz w:val="20"/>
              </w:rPr>
              <w:t>2</w:t>
            </w:r>
          </w:p>
        </w:tc>
        <w:tc>
          <w:tcPr>
            <w:tcW w:w="2267" w:type="dxa"/>
            <w:shd w:val="clear" w:color="auto" w:fill="auto"/>
            <w:tcMar>
              <w:left w:w="57" w:type="dxa"/>
              <w:right w:w="57" w:type="dxa"/>
            </w:tcMar>
          </w:tcPr>
          <w:p w14:paraId="397B164B" w14:textId="77777777" w:rsidR="000250BE" w:rsidRPr="00E14C9D" w:rsidRDefault="008E261E" w:rsidP="00E14C9D">
            <w:pPr>
              <w:jc w:val="left"/>
              <w:rPr>
                <w:sz w:val="20"/>
              </w:rPr>
            </w:pPr>
            <w:r w:rsidRPr="00E14C9D">
              <w:rPr>
                <w:rFonts w:cs="Arial"/>
                <w:sz w:val="20"/>
              </w:rPr>
              <w:t>Conditions that avoid double counting of emission reductions like unique identifications of product and end-user locations</w:t>
            </w:r>
          </w:p>
        </w:tc>
        <w:tc>
          <w:tcPr>
            <w:tcW w:w="2267" w:type="dxa"/>
            <w:shd w:val="clear" w:color="auto" w:fill="auto"/>
            <w:tcMar>
              <w:left w:w="57" w:type="dxa"/>
              <w:right w:w="57" w:type="dxa"/>
            </w:tcMar>
          </w:tcPr>
          <w:p w14:paraId="42130F64" w14:textId="77777777" w:rsidR="008E261E" w:rsidRPr="00E14C9D" w:rsidRDefault="00F03528" w:rsidP="00E14C9D">
            <w:pPr>
              <w:jc w:val="left"/>
              <w:rPr>
                <w:rFonts w:cs="Arial"/>
                <w:sz w:val="20"/>
              </w:rPr>
            </w:pPr>
            <w:r>
              <w:rPr>
                <w:rFonts w:cs="Arial"/>
                <w:sz w:val="20"/>
              </w:rPr>
              <w:t>T</w:t>
            </w:r>
            <w:r w:rsidR="008E261E" w:rsidRPr="00E14C9D">
              <w:rPr>
                <w:rFonts w:cs="Arial"/>
                <w:sz w:val="20"/>
              </w:rPr>
              <w:t>he VPA shall demonstrate that it does not double-count any of its appliances for the ERs estimation by confirming that:</w:t>
            </w:r>
          </w:p>
          <w:p w14:paraId="7042487D" w14:textId="77777777" w:rsidR="008E261E" w:rsidRPr="00E14C9D" w:rsidRDefault="00F03528" w:rsidP="007A2D3E">
            <w:pPr>
              <w:numPr>
                <w:ilvl w:val="0"/>
                <w:numId w:val="42"/>
              </w:numPr>
              <w:jc w:val="left"/>
              <w:rPr>
                <w:rFonts w:cs="Arial"/>
                <w:sz w:val="20"/>
              </w:rPr>
            </w:pPr>
            <w:r>
              <w:rPr>
                <w:rFonts w:cs="Arial"/>
                <w:sz w:val="20"/>
              </w:rPr>
              <w:t>T</w:t>
            </w:r>
            <w:r w:rsidR="008E261E" w:rsidRPr="00E14C9D">
              <w:rPr>
                <w:rFonts w:cs="Arial"/>
                <w:sz w:val="20"/>
              </w:rPr>
              <w:t>he complete address of each biogas system will be recorded</w:t>
            </w:r>
          </w:p>
          <w:p w14:paraId="39E3E975" w14:textId="77777777" w:rsidR="00F03528" w:rsidRPr="00834F24" w:rsidRDefault="00F03528" w:rsidP="004745B6">
            <w:pPr>
              <w:numPr>
                <w:ilvl w:val="0"/>
                <w:numId w:val="42"/>
              </w:numPr>
              <w:jc w:val="left"/>
              <w:rPr>
                <w:sz w:val="20"/>
              </w:rPr>
            </w:pPr>
            <w:r>
              <w:rPr>
                <w:rFonts w:cs="Arial"/>
                <w:sz w:val="20"/>
              </w:rPr>
              <w:t>T</w:t>
            </w:r>
            <w:r w:rsidR="008E261E" w:rsidRPr="00E14C9D">
              <w:rPr>
                <w:rFonts w:cs="Arial"/>
                <w:sz w:val="20"/>
              </w:rPr>
              <w:t>he biogas systems have unique serial numbers</w:t>
            </w:r>
          </w:p>
          <w:p w14:paraId="778005B1" w14:textId="77777777" w:rsidR="000250BE" w:rsidRPr="00E14C9D" w:rsidRDefault="00F03528" w:rsidP="004745B6">
            <w:pPr>
              <w:numPr>
                <w:ilvl w:val="0"/>
                <w:numId w:val="42"/>
              </w:numPr>
              <w:jc w:val="left"/>
              <w:rPr>
                <w:sz w:val="20"/>
              </w:rPr>
            </w:pPr>
            <w:r>
              <w:rPr>
                <w:rFonts w:cs="Arial"/>
                <w:sz w:val="20"/>
              </w:rPr>
              <w:t>T</w:t>
            </w:r>
            <w:r w:rsidR="008E261E" w:rsidRPr="00E14C9D">
              <w:rPr>
                <w:rFonts w:cs="Arial"/>
                <w:sz w:val="20"/>
              </w:rPr>
              <w:t>he VPA implementer has not included these biogas systems in another VPA or carbon project.</w:t>
            </w:r>
          </w:p>
        </w:tc>
        <w:tc>
          <w:tcPr>
            <w:tcW w:w="2267" w:type="dxa"/>
            <w:shd w:val="clear" w:color="auto" w:fill="auto"/>
            <w:tcMar>
              <w:left w:w="57" w:type="dxa"/>
              <w:right w:w="57" w:type="dxa"/>
            </w:tcMar>
          </w:tcPr>
          <w:p w14:paraId="05674F7D" w14:textId="77777777" w:rsidR="00BB71D1" w:rsidRPr="00004C78" w:rsidRDefault="00BB71D1" w:rsidP="007A2D3E">
            <w:pPr>
              <w:numPr>
                <w:ilvl w:val="0"/>
                <w:numId w:val="43"/>
              </w:numPr>
              <w:jc w:val="left"/>
              <w:rPr>
                <w:rFonts w:cs="Arial"/>
                <w:sz w:val="20"/>
              </w:rPr>
            </w:pPr>
            <w:r w:rsidRPr="00004C78">
              <w:rPr>
                <w:rFonts w:cs="Arial"/>
                <w:sz w:val="20"/>
              </w:rPr>
              <w:t>Contractual agreement between CME and VPA Implementer.</w:t>
            </w:r>
          </w:p>
          <w:p w14:paraId="67612F5F" w14:textId="77777777" w:rsidR="00BB71D1" w:rsidRPr="00004C78" w:rsidRDefault="00BB71D1" w:rsidP="007A2D3E">
            <w:pPr>
              <w:numPr>
                <w:ilvl w:val="0"/>
                <w:numId w:val="43"/>
              </w:numPr>
              <w:jc w:val="left"/>
              <w:rPr>
                <w:rFonts w:cs="Arial"/>
                <w:sz w:val="20"/>
              </w:rPr>
            </w:pPr>
            <w:r w:rsidRPr="00004C78">
              <w:rPr>
                <w:rFonts w:cs="Arial"/>
                <w:sz w:val="20"/>
              </w:rPr>
              <w:t xml:space="preserve">Declaration from VPA implementer </w:t>
            </w:r>
          </w:p>
          <w:p w14:paraId="16633BDC" w14:textId="77777777" w:rsidR="000250BE" w:rsidRPr="00004C78" w:rsidRDefault="00BB71D1" w:rsidP="007A2D3E">
            <w:pPr>
              <w:numPr>
                <w:ilvl w:val="0"/>
                <w:numId w:val="43"/>
              </w:numPr>
              <w:jc w:val="left"/>
              <w:rPr>
                <w:sz w:val="20"/>
              </w:rPr>
            </w:pPr>
            <w:r w:rsidRPr="00004C78">
              <w:rPr>
                <w:rFonts w:cs="Arial"/>
                <w:sz w:val="20"/>
              </w:rPr>
              <w:t>Sales Agreement</w:t>
            </w:r>
          </w:p>
        </w:tc>
        <w:tc>
          <w:tcPr>
            <w:tcW w:w="2267" w:type="dxa"/>
            <w:tcMar>
              <w:left w:w="57" w:type="dxa"/>
              <w:right w:w="57" w:type="dxa"/>
            </w:tcMar>
          </w:tcPr>
          <w:p w14:paraId="77FC336C" w14:textId="77777777" w:rsidR="008E261E" w:rsidRPr="00004C78" w:rsidRDefault="008E261E" w:rsidP="00E14C9D">
            <w:pPr>
              <w:jc w:val="left"/>
              <w:rPr>
                <w:rFonts w:cs="Arial"/>
                <w:sz w:val="20"/>
              </w:rPr>
            </w:pPr>
            <w:r w:rsidRPr="00004C78">
              <w:rPr>
                <w:rFonts w:cs="Arial"/>
                <w:sz w:val="20"/>
              </w:rPr>
              <w:t>The following documents are provided:</w:t>
            </w:r>
          </w:p>
          <w:p w14:paraId="214DA189" w14:textId="77777777" w:rsidR="008E261E" w:rsidRPr="00004C78" w:rsidRDefault="008E261E" w:rsidP="007A2D3E">
            <w:pPr>
              <w:numPr>
                <w:ilvl w:val="0"/>
                <w:numId w:val="43"/>
              </w:numPr>
              <w:jc w:val="left"/>
              <w:rPr>
                <w:rFonts w:cs="Arial"/>
                <w:sz w:val="20"/>
              </w:rPr>
            </w:pPr>
            <w:r w:rsidRPr="00004C78">
              <w:rPr>
                <w:rFonts w:cs="Arial"/>
                <w:sz w:val="20"/>
              </w:rPr>
              <w:t xml:space="preserve">Contractual agreement between CME and </w:t>
            </w:r>
            <w:r w:rsidR="00D56C26" w:rsidRPr="00004C78">
              <w:rPr>
                <w:rFonts w:cs="Arial"/>
                <w:sz w:val="20"/>
              </w:rPr>
              <w:t>VPA implementer</w:t>
            </w:r>
          </w:p>
          <w:p w14:paraId="3A3ABC71" w14:textId="77777777" w:rsidR="00E14C9D" w:rsidRPr="00004C78" w:rsidRDefault="00E14C9D" w:rsidP="007A2D3E">
            <w:pPr>
              <w:numPr>
                <w:ilvl w:val="0"/>
                <w:numId w:val="43"/>
              </w:numPr>
              <w:jc w:val="left"/>
              <w:rPr>
                <w:rFonts w:cs="Arial"/>
                <w:sz w:val="20"/>
              </w:rPr>
            </w:pPr>
            <w:r w:rsidRPr="00004C78">
              <w:rPr>
                <w:rFonts w:cs="Arial"/>
                <w:sz w:val="20"/>
              </w:rPr>
              <w:t xml:space="preserve">Declaration </w:t>
            </w:r>
            <w:r w:rsidR="00061576" w:rsidRPr="00004C78">
              <w:rPr>
                <w:rFonts w:cs="Arial"/>
                <w:sz w:val="20"/>
              </w:rPr>
              <w:t xml:space="preserve">from </w:t>
            </w:r>
            <w:r w:rsidR="00D56C26" w:rsidRPr="00004C78">
              <w:rPr>
                <w:rFonts w:cs="Arial"/>
                <w:sz w:val="20"/>
              </w:rPr>
              <w:t>VPA implementer</w:t>
            </w:r>
          </w:p>
          <w:p w14:paraId="7A5C1350" w14:textId="28F83B5E" w:rsidR="000250BE" w:rsidRPr="00004C78" w:rsidRDefault="007F7AC4" w:rsidP="007A2D3E">
            <w:pPr>
              <w:numPr>
                <w:ilvl w:val="0"/>
                <w:numId w:val="43"/>
              </w:numPr>
              <w:jc w:val="left"/>
              <w:rPr>
                <w:rFonts w:cs="Arial"/>
                <w:sz w:val="20"/>
              </w:rPr>
            </w:pPr>
            <w:r>
              <w:rPr>
                <w:rFonts w:cs="Arial"/>
                <w:sz w:val="20"/>
              </w:rPr>
              <w:t>Ownership certificate</w:t>
            </w:r>
            <w:r w:rsidR="008E261E" w:rsidRPr="00004C78">
              <w:rPr>
                <w:rFonts w:cs="Arial"/>
                <w:sz w:val="20"/>
              </w:rPr>
              <w:t>s</w:t>
            </w:r>
          </w:p>
        </w:tc>
      </w:tr>
      <w:tr w:rsidR="008E261E" w:rsidRPr="000C7CA3" w14:paraId="7CC3B089" w14:textId="77777777" w:rsidTr="00E14C9D">
        <w:trPr>
          <w:cantSplit/>
        </w:trPr>
        <w:tc>
          <w:tcPr>
            <w:tcW w:w="561" w:type="dxa"/>
            <w:shd w:val="clear" w:color="auto" w:fill="auto"/>
            <w:tcMar>
              <w:left w:w="57" w:type="dxa"/>
              <w:right w:w="57" w:type="dxa"/>
            </w:tcMar>
          </w:tcPr>
          <w:p w14:paraId="61E29842" w14:textId="77777777" w:rsidR="008E261E" w:rsidRPr="008E261E" w:rsidRDefault="008E261E" w:rsidP="008E261E">
            <w:pPr>
              <w:jc w:val="left"/>
              <w:rPr>
                <w:sz w:val="20"/>
              </w:rPr>
            </w:pPr>
            <w:r w:rsidRPr="008E261E">
              <w:rPr>
                <w:sz w:val="20"/>
              </w:rPr>
              <w:lastRenderedPageBreak/>
              <w:t>3</w:t>
            </w:r>
          </w:p>
        </w:tc>
        <w:tc>
          <w:tcPr>
            <w:tcW w:w="2267" w:type="dxa"/>
            <w:shd w:val="clear" w:color="auto" w:fill="auto"/>
            <w:tcMar>
              <w:left w:w="57" w:type="dxa"/>
              <w:right w:w="57" w:type="dxa"/>
            </w:tcMar>
          </w:tcPr>
          <w:p w14:paraId="4CF80FAA" w14:textId="77777777" w:rsidR="008E261E" w:rsidRPr="00E14C9D" w:rsidRDefault="008E261E" w:rsidP="00E14C9D">
            <w:pPr>
              <w:jc w:val="left"/>
              <w:rPr>
                <w:rFonts w:cs="Arial"/>
                <w:sz w:val="20"/>
              </w:rPr>
            </w:pPr>
            <w:r w:rsidRPr="00E14C9D">
              <w:rPr>
                <w:rFonts w:cs="Arial"/>
                <w:sz w:val="20"/>
              </w:rPr>
              <w:t>The specifications of technology/measure including the level and type of service, performance specifications including compliance with testing/certifications</w:t>
            </w:r>
          </w:p>
        </w:tc>
        <w:tc>
          <w:tcPr>
            <w:tcW w:w="2267" w:type="dxa"/>
            <w:shd w:val="clear" w:color="auto" w:fill="auto"/>
            <w:tcMar>
              <w:left w:w="57" w:type="dxa"/>
              <w:right w:w="57" w:type="dxa"/>
            </w:tcMar>
          </w:tcPr>
          <w:p w14:paraId="637DD7FA" w14:textId="77777777" w:rsidR="008E261E" w:rsidRPr="00E14C9D" w:rsidRDefault="008E261E" w:rsidP="00E14C9D">
            <w:pPr>
              <w:jc w:val="left"/>
              <w:rPr>
                <w:sz w:val="20"/>
              </w:rPr>
            </w:pPr>
            <w:r w:rsidRPr="00E14C9D">
              <w:rPr>
                <w:rFonts w:cs="Arial"/>
                <w:sz w:val="20"/>
              </w:rPr>
              <w:t>The biogas systems disseminated are renewable energy generation units to provide thermal energy and will be required to conform to any applicable national standards.</w:t>
            </w:r>
          </w:p>
        </w:tc>
        <w:tc>
          <w:tcPr>
            <w:tcW w:w="2267" w:type="dxa"/>
            <w:shd w:val="clear" w:color="auto" w:fill="auto"/>
            <w:tcMar>
              <w:left w:w="57" w:type="dxa"/>
              <w:right w:w="57" w:type="dxa"/>
            </w:tcMar>
          </w:tcPr>
          <w:p w14:paraId="6DD38F3F" w14:textId="77777777" w:rsidR="00E14C9D" w:rsidRPr="00E14C9D" w:rsidRDefault="00E14C9D" w:rsidP="00E14C9D">
            <w:pPr>
              <w:jc w:val="left"/>
              <w:rPr>
                <w:sz w:val="20"/>
              </w:rPr>
            </w:pPr>
            <w:r w:rsidRPr="00E14C9D">
              <w:rPr>
                <w:sz w:val="20"/>
              </w:rPr>
              <w:t xml:space="preserve">The following documents shall be provided: </w:t>
            </w:r>
          </w:p>
          <w:p w14:paraId="682B66A2" w14:textId="77777777" w:rsidR="00E14C9D" w:rsidRPr="00E14C9D" w:rsidRDefault="00E14C9D" w:rsidP="007A2D3E">
            <w:pPr>
              <w:numPr>
                <w:ilvl w:val="0"/>
                <w:numId w:val="44"/>
              </w:numPr>
              <w:jc w:val="left"/>
              <w:rPr>
                <w:rFonts w:cs="Arial"/>
                <w:sz w:val="20"/>
              </w:rPr>
            </w:pPr>
            <w:r w:rsidRPr="00E14C9D">
              <w:rPr>
                <w:rFonts w:cs="Arial"/>
                <w:sz w:val="20"/>
              </w:rPr>
              <w:t xml:space="preserve">Technical documentation describing the operation of the biogas system. </w:t>
            </w:r>
          </w:p>
          <w:p w14:paraId="640D53B4" w14:textId="77777777" w:rsidR="008E261E" w:rsidRPr="00E14C9D" w:rsidRDefault="00E14C9D" w:rsidP="007A2D3E">
            <w:pPr>
              <w:numPr>
                <w:ilvl w:val="0"/>
                <w:numId w:val="44"/>
              </w:numPr>
              <w:jc w:val="left"/>
              <w:rPr>
                <w:sz w:val="20"/>
              </w:rPr>
            </w:pPr>
            <w:r w:rsidRPr="00E14C9D">
              <w:rPr>
                <w:rFonts w:cs="Arial"/>
                <w:sz w:val="20"/>
              </w:rPr>
              <w:t>Evidence of compliance with national standard (if applicable).</w:t>
            </w:r>
          </w:p>
        </w:tc>
        <w:tc>
          <w:tcPr>
            <w:tcW w:w="2267" w:type="dxa"/>
            <w:tcMar>
              <w:left w:w="57" w:type="dxa"/>
              <w:right w:w="57" w:type="dxa"/>
            </w:tcMar>
          </w:tcPr>
          <w:p w14:paraId="6E510E15" w14:textId="77777777" w:rsidR="008E261E" w:rsidRPr="00E14C9D" w:rsidRDefault="008E261E" w:rsidP="00E14C9D">
            <w:pPr>
              <w:jc w:val="left"/>
              <w:rPr>
                <w:rFonts w:cs="Arial"/>
                <w:sz w:val="20"/>
              </w:rPr>
            </w:pPr>
            <w:r w:rsidRPr="00E14C9D">
              <w:rPr>
                <w:rFonts w:cs="Arial"/>
                <w:sz w:val="20"/>
              </w:rPr>
              <w:t>The following document is provided:</w:t>
            </w:r>
          </w:p>
          <w:p w14:paraId="369638D6" w14:textId="77777777" w:rsidR="008E261E" w:rsidRPr="00E14C9D" w:rsidRDefault="008E261E" w:rsidP="007A2D3E">
            <w:pPr>
              <w:numPr>
                <w:ilvl w:val="0"/>
                <w:numId w:val="44"/>
              </w:numPr>
              <w:jc w:val="left"/>
              <w:rPr>
                <w:rFonts w:cs="Arial"/>
                <w:sz w:val="20"/>
              </w:rPr>
            </w:pPr>
            <w:r w:rsidRPr="00E14C9D">
              <w:rPr>
                <w:rFonts w:cs="Arial"/>
                <w:sz w:val="20"/>
              </w:rPr>
              <w:t>Technical documentation describing the operation of the biogas system (Operation Manual of Biogas plants)</w:t>
            </w:r>
          </w:p>
          <w:p w14:paraId="3C0F314D" w14:textId="77777777" w:rsidR="008E261E" w:rsidRPr="00E14C9D" w:rsidRDefault="008E261E" w:rsidP="00E14C9D">
            <w:pPr>
              <w:jc w:val="left"/>
              <w:rPr>
                <w:rFonts w:cs="Arial"/>
                <w:sz w:val="20"/>
              </w:rPr>
            </w:pPr>
          </w:p>
          <w:p w14:paraId="2DE31C5C" w14:textId="77777777" w:rsidR="008E261E" w:rsidRPr="00E14C9D" w:rsidRDefault="008E261E" w:rsidP="00E14C9D">
            <w:pPr>
              <w:jc w:val="left"/>
              <w:rPr>
                <w:sz w:val="20"/>
              </w:rPr>
            </w:pPr>
            <w:r w:rsidRPr="00E14C9D">
              <w:rPr>
                <w:rFonts w:cs="Arial"/>
                <w:sz w:val="20"/>
              </w:rPr>
              <w:t>There are no national standards regulating biogas digester technologies in Kenya.</w:t>
            </w:r>
          </w:p>
        </w:tc>
      </w:tr>
      <w:tr w:rsidR="008E261E" w:rsidRPr="000C7CA3" w14:paraId="7FD8E9A6" w14:textId="77777777" w:rsidTr="00E14C9D">
        <w:trPr>
          <w:cantSplit/>
        </w:trPr>
        <w:tc>
          <w:tcPr>
            <w:tcW w:w="561" w:type="dxa"/>
            <w:shd w:val="clear" w:color="auto" w:fill="auto"/>
            <w:tcMar>
              <w:left w:w="57" w:type="dxa"/>
              <w:right w:w="57" w:type="dxa"/>
            </w:tcMar>
          </w:tcPr>
          <w:p w14:paraId="7A588408" w14:textId="77777777" w:rsidR="008E261E" w:rsidRPr="008E261E" w:rsidRDefault="008E261E" w:rsidP="008E261E">
            <w:pPr>
              <w:jc w:val="left"/>
              <w:rPr>
                <w:sz w:val="20"/>
              </w:rPr>
            </w:pPr>
            <w:r>
              <w:rPr>
                <w:sz w:val="20"/>
              </w:rPr>
              <w:t>4</w:t>
            </w:r>
          </w:p>
        </w:tc>
        <w:tc>
          <w:tcPr>
            <w:tcW w:w="2267" w:type="dxa"/>
            <w:shd w:val="clear" w:color="auto" w:fill="auto"/>
            <w:tcMar>
              <w:left w:w="57" w:type="dxa"/>
              <w:right w:w="57" w:type="dxa"/>
            </w:tcMar>
          </w:tcPr>
          <w:p w14:paraId="30CE284F" w14:textId="77777777" w:rsidR="008E261E" w:rsidRPr="00E14C9D" w:rsidRDefault="008E261E" w:rsidP="00E14C9D">
            <w:pPr>
              <w:jc w:val="left"/>
              <w:rPr>
                <w:sz w:val="20"/>
              </w:rPr>
            </w:pPr>
            <w:r w:rsidRPr="00E14C9D">
              <w:rPr>
                <w:rFonts w:cs="Arial"/>
                <w:sz w:val="20"/>
              </w:rPr>
              <w:t>Conditions to check the start date of the VPA through documentary evidence</w:t>
            </w:r>
          </w:p>
        </w:tc>
        <w:tc>
          <w:tcPr>
            <w:tcW w:w="2267" w:type="dxa"/>
            <w:shd w:val="clear" w:color="auto" w:fill="auto"/>
            <w:tcMar>
              <w:left w:w="57" w:type="dxa"/>
              <w:right w:w="57" w:type="dxa"/>
            </w:tcMar>
          </w:tcPr>
          <w:p w14:paraId="6FED2CD9" w14:textId="77777777" w:rsidR="008E261E" w:rsidRPr="00E14C9D" w:rsidRDefault="008E261E" w:rsidP="00E14C9D">
            <w:pPr>
              <w:jc w:val="left"/>
              <w:rPr>
                <w:rFonts w:cs="Arial"/>
                <w:sz w:val="20"/>
              </w:rPr>
            </w:pPr>
            <w:r w:rsidRPr="00E14C9D">
              <w:rPr>
                <w:rFonts w:cs="Arial"/>
                <w:sz w:val="20"/>
              </w:rPr>
              <w:t>The VPA implementer will demonstrate the start date of the VPA is on or after the start date of the PoA. The start date of the VPA will be defined as the date on which the first Sales Agree</w:t>
            </w:r>
            <w:r w:rsidR="00E14C9D">
              <w:rPr>
                <w:rFonts w:cs="Arial"/>
                <w:sz w:val="20"/>
              </w:rPr>
              <w:t xml:space="preserve">ment is signed under the VPA.  </w:t>
            </w:r>
          </w:p>
        </w:tc>
        <w:tc>
          <w:tcPr>
            <w:tcW w:w="2267" w:type="dxa"/>
            <w:shd w:val="clear" w:color="auto" w:fill="auto"/>
            <w:tcMar>
              <w:left w:w="57" w:type="dxa"/>
              <w:right w:w="57" w:type="dxa"/>
            </w:tcMar>
          </w:tcPr>
          <w:p w14:paraId="78DE6BFA" w14:textId="77777777" w:rsidR="008E261E" w:rsidRPr="00F47639" w:rsidRDefault="00BB71D1" w:rsidP="007A2D3E">
            <w:pPr>
              <w:numPr>
                <w:ilvl w:val="0"/>
                <w:numId w:val="45"/>
              </w:numPr>
              <w:jc w:val="left"/>
              <w:rPr>
                <w:sz w:val="20"/>
              </w:rPr>
            </w:pPr>
            <w:r w:rsidRPr="00F47639">
              <w:rPr>
                <w:sz w:val="20"/>
              </w:rPr>
              <w:t>Sales Agreements for the first digester included under the VPA.</w:t>
            </w:r>
          </w:p>
        </w:tc>
        <w:tc>
          <w:tcPr>
            <w:tcW w:w="2267" w:type="dxa"/>
            <w:tcMar>
              <w:left w:w="57" w:type="dxa"/>
              <w:right w:w="57" w:type="dxa"/>
            </w:tcMar>
          </w:tcPr>
          <w:p w14:paraId="07E14C70" w14:textId="77777777" w:rsidR="008E261E" w:rsidRPr="00F47639" w:rsidRDefault="008E261E" w:rsidP="00E14C9D">
            <w:pPr>
              <w:jc w:val="left"/>
              <w:rPr>
                <w:rFonts w:cs="Arial"/>
                <w:sz w:val="20"/>
              </w:rPr>
            </w:pPr>
            <w:r w:rsidRPr="00F47639">
              <w:rPr>
                <w:rFonts w:cs="Arial"/>
                <w:sz w:val="20"/>
              </w:rPr>
              <w:t>The following documents are provided:</w:t>
            </w:r>
          </w:p>
          <w:p w14:paraId="693E067A" w14:textId="77777777" w:rsidR="00E14C9D" w:rsidRPr="00F47639" w:rsidRDefault="008E261E" w:rsidP="007A2D3E">
            <w:pPr>
              <w:numPr>
                <w:ilvl w:val="0"/>
                <w:numId w:val="45"/>
              </w:numPr>
              <w:jc w:val="left"/>
              <w:rPr>
                <w:rFonts w:cs="Arial"/>
                <w:sz w:val="20"/>
              </w:rPr>
            </w:pPr>
            <w:r w:rsidRPr="00F47639">
              <w:rPr>
                <w:rFonts w:cs="Arial"/>
                <w:sz w:val="20"/>
              </w:rPr>
              <w:t>Sales Agreements for the first digester included under the VPA.</w:t>
            </w:r>
          </w:p>
          <w:p w14:paraId="0B8B7374" w14:textId="77777777" w:rsidR="008E261E" w:rsidRPr="00F47639" w:rsidRDefault="008E261E" w:rsidP="007A2D3E">
            <w:pPr>
              <w:numPr>
                <w:ilvl w:val="0"/>
                <w:numId w:val="45"/>
              </w:numPr>
              <w:jc w:val="left"/>
              <w:rPr>
                <w:rFonts w:cs="Arial"/>
                <w:sz w:val="20"/>
              </w:rPr>
            </w:pPr>
            <w:r w:rsidRPr="00F47639">
              <w:rPr>
                <w:rFonts w:cs="Arial"/>
                <w:sz w:val="20"/>
              </w:rPr>
              <w:t>Project Database</w:t>
            </w:r>
          </w:p>
        </w:tc>
      </w:tr>
      <w:tr w:rsidR="008E261E" w:rsidRPr="000C7CA3" w14:paraId="120F9EF2" w14:textId="77777777" w:rsidTr="00E14C9D">
        <w:trPr>
          <w:cantSplit/>
        </w:trPr>
        <w:tc>
          <w:tcPr>
            <w:tcW w:w="561" w:type="dxa"/>
            <w:shd w:val="clear" w:color="auto" w:fill="auto"/>
            <w:tcMar>
              <w:left w:w="57" w:type="dxa"/>
              <w:right w:w="57" w:type="dxa"/>
            </w:tcMar>
          </w:tcPr>
          <w:p w14:paraId="3F889491" w14:textId="77777777" w:rsidR="008E261E" w:rsidRDefault="008E261E" w:rsidP="008E261E">
            <w:pPr>
              <w:jc w:val="left"/>
              <w:rPr>
                <w:sz w:val="20"/>
              </w:rPr>
            </w:pPr>
            <w:r>
              <w:rPr>
                <w:sz w:val="20"/>
              </w:rPr>
              <w:t>5</w:t>
            </w:r>
          </w:p>
        </w:tc>
        <w:tc>
          <w:tcPr>
            <w:tcW w:w="2267" w:type="dxa"/>
            <w:shd w:val="clear" w:color="auto" w:fill="auto"/>
            <w:tcMar>
              <w:left w:w="57" w:type="dxa"/>
              <w:right w:w="57" w:type="dxa"/>
            </w:tcMar>
          </w:tcPr>
          <w:p w14:paraId="75B863E7" w14:textId="77777777" w:rsidR="008E261E" w:rsidRPr="00E14C9D" w:rsidRDefault="008E261E" w:rsidP="00E14C9D">
            <w:pPr>
              <w:jc w:val="left"/>
              <w:rPr>
                <w:rFonts w:cs="Arial"/>
                <w:sz w:val="20"/>
              </w:rPr>
            </w:pPr>
            <w:r w:rsidRPr="00E14C9D">
              <w:rPr>
                <w:rFonts w:cs="Arial"/>
                <w:sz w:val="20"/>
              </w:rPr>
              <w:t>Conditions that ensure compliance with applicability and other requirements of single or multiple methodologies applied by VPAs</w:t>
            </w:r>
          </w:p>
        </w:tc>
        <w:tc>
          <w:tcPr>
            <w:tcW w:w="2267" w:type="dxa"/>
            <w:shd w:val="clear" w:color="auto" w:fill="auto"/>
            <w:tcMar>
              <w:left w:w="57" w:type="dxa"/>
              <w:right w:w="57" w:type="dxa"/>
            </w:tcMar>
          </w:tcPr>
          <w:p w14:paraId="3DDD7DF8" w14:textId="77777777" w:rsidR="008E261E" w:rsidRPr="00E14C9D" w:rsidRDefault="008E261E" w:rsidP="00E14C9D">
            <w:pPr>
              <w:jc w:val="left"/>
              <w:rPr>
                <w:rFonts w:cs="Arial"/>
                <w:sz w:val="20"/>
              </w:rPr>
            </w:pPr>
            <w:r w:rsidRPr="00E14C9D">
              <w:rPr>
                <w:rFonts w:cs="Arial"/>
                <w:sz w:val="20"/>
              </w:rPr>
              <w:t xml:space="preserve">The VPA complies with the baseline and monitoring methodology requirements of the ‘Technologies and Practices to Displace Decentralised Thermal Energy Consumption’ (version 1.0). and should meet its eligibility criteria as discussed in Section B.2 of the PoA-DD. </w:t>
            </w:r>
          </w:p>
        </w:tc>
        <w:tc>
          <w:tcPr>
            <w:tcW w:w="2267" w:type="dxa"/>
            <w:shd w:val="clear" w:color="auto" w:fill="auto"/>
            <w:tcMar>
              <w:left w:w="57" w:type="dxa"/>
              <w:right w:w="57" w:type="dxa"/>
            </w:tcMar>
          </w:tcPr>
          <w:p w14:paraId="7536600B" w14:textId="77777777" w:rsidR="00BB71D1" w:rsidRPr="00BB71D1" w:rsidRDefault="00BB71D1" w:rsidP="00BB71D1">
            <w:pPr>
              <w:jc w:val="left"/>
              <w:rPr>
                <w:sz w:val="18"/>
              </w:rPr>
            </w:pPr>
            <w:r w:rsidRPr="00BB71D1">
              <w:rPr>
                <w:sz w:val="20"/>
              </w:rPr>
              <w:t xml:space="preserve">The following documents shall be provided as evidence: </w:t>
            </w:r>
          </w:p>
          <w:p w14:paraId="420F74BE" w14:textId="77777777" w:rsidR="00BB71D1" w:rsidRPr="00BB71D1" w:rsidRDefault="00F03528" w:rsidP="007A2D3E">
            <w:pPr>
              <w:numPr>
                <w:ilvl w:val="0"/>
                <w:numId w:val="46"/>
              </w:numPr>
              <w:jc w:val="left"/>
              <w:rPr>
                <w:sz w:val="18"/>
              </w:rPr>
            </w:pPr>
            <w:r>
              <w:rPr>
                <w:sz w:val="20"/>
              </w:rPr>
              <w:t>Project</w:t>
            </w:r>
            <w:r w:rsidRPr="00BB71D1">
              <w:rPr>
                <w:sz w:val="20"/>
              </w:rPr>
              <w:t xml:space="preserve"> </w:t>
            </w:r>
            <w:r w:rsidR="00BB71D1" w:rsidRPr="00BB71D1">
              <w:rPr>
                <w:sz w:val="20"/>
              </w:rPr>
              <w:t xml:space="preserve">database </w:t>
            </w:r>
          </w:p>
          <w:p w14:paraId="65FE627B" w14:textId="77777777" w:rsidR="008E261E" w:rsidRPr="00E14C9D" w:rsidRDefault="00BB71D1" w:rsidP="007A2D3E">
            <w:pPr>
              <w:numPr>
                <w:ilvl w:val="0"/>
                <w:numId w:val="46"/>
              </w:numPr>
              <w:jc w:val="left"/>
              <w:rPr>
                <w:sz w:val="20"/>
              </w:rPr>
            </w:pPr>
            <w:r w:rsidRPr="00BB71D1">
              <w:rPr>
                <w:sz w:val="20"/>
              </w:rPr>
              <w:t>Sales Agreement</w:t>
            </w:r>
          </w:p>
        </w:tc>
        <w:tc>
          <w:tcPr>
            <w:tcW w:w="2267" w:type="dxa"/>
            <w:tcMar>
              <w:left w:w="57" w:type="dxa"/>
              <w:right w:w="57" w:type="dxa"/>
            </w:tcMar>
          </w:tcPr>
          <w:p w14:paraId="6B14F122" w14:textId="77777777" w:rsidR="008E261E" w:rsidRPr="00E14C9D" w:rsidRDefault="008E261E" w:rsidP="00E14C9D">
            <w:pPr>
              <w:jc w:val="left"/>
              <w:rPr>
                <w:rFonts w:cs="Arial"/>
                <w:sz w:val="20"/>
              </w:rPr>
            </w:pPr>
            <w:r w:rsidRPr="00E14C9D">
              <w:rPr>
                <w:rFonts w:cs="Arial"/>
                <w:sz w:val="20"/>
              </w:rPr>
              <w:t>The following documents are provided as evidence:</w:t>
            </w:r>
          </w:p>
          <w:p w14:paraId="1D738723" w14:textId="77777777" w:rsidR="008E261E" w:rsidRPr="00F47639" w:rsidRDefault="008E261E" w:rsidP="007A2D3E">
            <w:pPr>
              <w:numPr>
                <w:ilvl w:val="0"/>
                <w:numId w:val="46"/>
              </w:numPr>
              <w:jc w:val="left"/>
              <w:rPr>
                <w:rFonts w:cs="Arial"/>
                <w:sz w:val="20"/>
              </w:rPr>
            </w:pPr>
            <w:r w:rsidRPr="00F47639">
              <w:rPr>
                <w:rFonts w:cs="Arial"/>
                <w:sz w:val="20"/>
              </w:rPr>
              <w:t xml:space="preserve">Project Database </w:t>
            </w:r>
          </w:p>
          <w:p w14:paraId="7413FED6" w14:textId="77777777" w:rsidR="008E261E" w:rsidRDefault="008E261E" w:rsidP="007A2D3E">
            <w:pPr>
              <w:numPr>
                <w:ilvl w:val="0"/>
                <w:numId w:val="46"/>
              </w:numPr>
              <w:jc w:val="left"/>
              <w:rPr>
                <w:rFonts w:cs="Arial"/>
                <w:sz w:val="20"/>
              </w:rPr>
            </w:pPr>
            <w:r w:rsidRPr="00F47639">
              <w:rPr>
                <w:rFonts w:cs="Arial"/>
                <w:sz w:val="20"/>
              </w:rPr>
              <w:t>Sales Agreement</w:t>
            </w:r>
          </w:p>
          <w:p w14:paraId="3E244FA1" w14:textId="77777777" w:rsidR="003E61D1" w:rsidRPr="00E14C9D" w:rsidRDefault="003E61D1" w:rsidP="007A2D3E">
            <w:pPr>
              <w:numPr>
                <w:ilvl w:val="0"/>
                <w:numId w:val="46"/>
              </w:numPr>
              <w:jc w:val="left"/>
              <w:rPr>
                <w:rFonts w:cs="Arial"/>
                <w:sz w:val="20"/>
              </w:rPr>
            </w:pPr>
            <w:r>
              <w:rPr>
                <w:rFonts w:cs="Arial"/>
                <w:sz w:val="20"/>
              </w:rPr>
              <w:t>KPT Reports</w:t>
            </w:r>
          </w:p>
        </w:tc>
      </w:tr>
      <w:tr w:rsidR="008E261E" w:rsidRPr="000C7CA3" w14:paraId="308C4F31" w14:textId="77777777" w:rsidTr="00E14C9D">
        <w:trPr>
          <w:cantSplit/>
        </w:trPr>
        <w:tc>
          <w:tcPr>
            <w:tcW w:w="561" w:type="dxa"/>
            <w:shd w:val="clear" w:color="auto" w:fill="auto"/>
            <w:tcMar>
              <w:left w:w="57" w:type="dxa"/>
              <w:right w:w="57" w:type="dxa"/>
            </w:tcMar>
          </w:tcPr>
          <w:p w14:paraId="7C515A04" w14:textId="77777777" w:rsidR="008E261E" w:rsidRDefault="008E261E" w:rsidP="008E261E">
            <w:pPr>
              <w:jc w:val="left"/>
              <w:rPr>
                <w:sz w:val="20"/>
              </w:rPr>
            </w:pPr>
            <w:r>
              <w:rPr>
                <w:sz w:val="20"/>
              </w:rPr>
              <w:t>6</w:t>
            </w:r>
          </w:p>
        </w:tc>
        <w:tc>
          <w:tcPr>
            <w:tcW w:w="2267" w:type="dxa"/>
            <w:shd w:val="clear" w:color="auto" w:fill="auto"/>
            <w:tcMar>
              <w:left w:w="57" w:type="dxa"/>
              <w:right w:w="57" w:type="dxa"/>
            </w:tcMar>
          </w:tcPr>
          <w:p w14:paraId="57F73CD2" w14:textId="77777777" w:rsidR="008E261E" w:rsidRPr="00E14C9D" w:rsidRDefault="008E261E" w:rsidP="00E14C9D">
            <w:pPr>
              <w:jc w:val="left"/>
              <w:rPr>
                <w:rFonts w:cs="Arial"/>
                <w:sz w:val="20"/>
              </w:rPr>
            </w:pPr>
            <w:r w:rsidRPr="00E14C9D">
              <w:rPr>
                <w:rFonts w:cs="Arial"/>
                <w:sz w:val="20"/>
              </w:rPr>
              <w:t>The conditions that ensure that VPAs meet the requirements pertaining to the demonstration of additionality</w:t>
            </w:r>
          </w:p>
        </w:tc>
        <w:tc>
          <w:tcPr>
            <w:tcW w:w="2267" w:type="dxa"/>
            <w:shd w:val="clear" w:color="auto" w:fill="auto"/>
            <w:tcMar>
              <w:left w:w="57" w:type="dxa"/>
              <w:right w:w="57" w:type="dxa"/>
            </w:tcMar>
          </w:tcPr>
          <w:p w14:paraId="42E51762" w14:textId="77777777" w:rsidR="008E261E" w:rsidRPr="00E14C9D" w:rsidRDefault="008E261E" w:rsidP="00E14C9D">
            <w:pPr>
              <w:jc w:val="left"/>
              <w:rPr>
                <w:rFonts w:cs="Arial"/>
                <w:sz w:val="20"/>
              </w:rPr>
            </w:pPr>
            <w:r w:rsidRPr="00E14C9D">
              <w:rPr>
                <w:rFonts w:cs="Arial"/>
                <w:sz w:val="20"/>
              </w:rPr>
              <w:t>The VPA will prove additionality as per the following approach:</w:t>
            </w:r>
          </w:p>
          <w:p w14:paraId="69BEF54C" w14:textId="77777777" w:rsidR="008E261E" w:rsidRPr="00E14C9D" w:rsidRDefault="008E261E" w:rsidP="00E14C9D">
            <w:pPr>
              <w:jc w:val="left"/>
              <w:rPr>
                <w:rFonts w:cs="Arial"/>
                <w:sz w:val="20"/>
              </w:rPr>
            </w:pPr>
          </w:p>
          <w:p w14:paraId="5DD5579F" w14:textId="77777777" w:rsidR="008E261E" w:rsidRPr="00E14C9D" w:rsidRDefault="008E261E" w:rsidP="00E14C9D">
            <w:pPr>
              <w:jc w:val="left"/>
              <w:rPr>
                <w:rFonts w:cs="Arial"/>
                <w:b/>
                <w:i/>
                <w:sz w:val="20"/>
              </w:rPr>
            </w:pPr>
            <w:r w:rsidRPr="00E14C9D">
              <w:rPr>
                <w:rFonts w:cs="Arial"/>
                <w:b/>
                <w:i/>
                <w:sz w:val="20"/>
              </w:rPr>
              <w:t>1) Positive List</w:t>
            </w:r>
            <w:r w:rsidRPr="00E14C9D">
              <w:rPr>
                <w:rFonts w:cs="Arial"/>
                <w:b/>
                <w:i/>
                <w:sz w:val="20"/>
                <w:vertAlign w:val="superscript"/>
              </w:rPr>
              <w:footnoteReference w:id="43"/>
            </w:r>
          </w:p>
          <w:p w14:paraId="5C8F67FF" w14:textId="77777777" w:rsidR="008E261E" w:rsidRPr="00ED59CF" w:rsidRDefault="008E261E" w:rsidP="00ED59CF">
            <w:pPr>
              <w:numPr>
                <w:ilvl w:val="0"/>
                <w:numId w:val="54"/>
              </w:numPr>
              <w:ind w:left="481"/>
              <w:jc w:val="left"/>
              <w:rPr>
                <w:sz w:val="20"/>
              </w:rPr>
            </w:pPr>
            <w:bookmarkStart w:id="24" w:name="_Hlk494379328"/>
            <w:r w:rsidRPr="00ED59CF">
              <w:rPr>
                <w:sz w:val="20"/>
              </w:rPr>
              <w:t>Biogas system rated capacity is less than 2.25MWth each</w:t>
            </w:r>
          </w:p>
          <w:bookmarkEnd w:id="24"/>
          <w:p w14:paraId="0495776F" w14:textId="77777777" w:rsidR="008E261E" w:rsidRPr="00E14C9D" w:rsidRDefault="008E261E" w:rsidP="00ED59CF">
            <w:pPr>
              <w:numPr>
                <w:ilvl w:val="0"/>
                <w:numId w:val="54"/>
              </w:numPr>
              <w:ind w:left="481"/>
              <w:jc w:val="left"/>
              <w:rPr>
                <w:rFonts w:cs="Arial"/>
                <w:sz w:val="20"/>
              </w:rPr>
            </w:pPr>
            <w:r w:rsidRPr="00ED59CF">
              <w:rPr>
                <w:sz w:val="20"/>
              </w:rPr>
              <w:t>Biogas systems are disseminated to households or communities or Small and Medium Enterprises (SMEs).</w:t>
            </w:r>
          </w:p>
        </w:tc>
        <w:tc>
          <w:tcPr>
            <w:tcW w:w="2267" w:type="dxa"/>
            <w:shd w:val="clear" w:color="auto" w:fill="auto"/>
            <w:tcMar>
              <w:left w:w="57" w:type="dxa"/>
              <w:right w:w="57" w:type="dxa"/>
            </w:tcMar>
          </w:tcPr>
          <w:p w14:paraId="75138FF9" w14:textId="77777777" w:rsidR="00BB71D1" w:rsidRPr="00BB71D1" w:rsidRDefault="00BB71D1" w:rsidP="00E14C9D">
            <w:pPr>
              <w:jc w:val="left"/>
              <w:rPr>
                <w:sz w:val="20"/>
              </w:rPr>
            </w:pPr>
            <w:r w:rsidRPr="00BB71D1">
              <w:rPr>
                <w:sz w:val="20"/>
              </w:rPr>
              <w:t xml:space="preserve">The following evidences shall be provided: </w:t>
            </w:r>
          </w:p>
          <w:p w14:paraId="0A873B92" w14:textId="77777777" w:rsidR="00BB71D1" w:rsidRPr="00BB71D1" w:rsidRDefault="00BB71D1" w:rsidP="00ED59CF">
            <w:pPr>
              <w:numPr>
                <w:ilvl w:val="0"/>
                <w:numId w:val="58"/>
              </w:numPr>
              <w:ind w:left="481"/>
              <w:jc w:val="left"/>
              <w:rPr>
                <w:sz w:val="20"/>
              </w:rPr>
            </w:pPr>
            <w:r w:rsidRPr="00BB71D1">
              <w:rPr>
                <w:sz w:val="20"/>
              </w:rPr>
              <w:t>Calculation showing the capacity of the biogas system(s) in MW</w:t>
            </w:r>
          </w:p>
          <w:p w14:paraId="01050A1D" w14:textId="77777777" w:rsidR="008E261E" w:rsidRPr="00E14C9D" w:rsidRDefault="00BB71D1" w:rsidP="00ED59CF">
            <w:pPr>
              <w:numPr>
                <w:ilvl w:val="0"/>
                <w:numId w:val="58"/>
              </w:numPr>
              <w:ind w:left="481"/>
              <w:jc w:val="left"/>
              <w:rPr>
                <w:sz w:val="20"/>
              </w:rPr>
            </w:pPr>
            <w:r w:rsidRPr="00BB71D1">
              <w:rPr>
                <w:sz w:val="20"/>
              </w:rPr>
              <w:t>Business plan / Implementation document</w:t>
            </w:r>
          </w:p>
        </w:tc>
        <w:tc>
          <w:tcPr>
            <w:tcW w:w="2267" w:type="dxa"/>
            <w:tcMar>
              <w:left w:w="57" w:type="dxa"/>
              <w:right w:w="57" w:type="dxa"/>
            </w:tcMar>
          </w:tcPr>
          <w:p w14:paraId="3961A53F" w14:textId="77777777" w:rsidR="008E261E" w:rsidRPr="00E14C9D" w:rsidRDefault="008E261E" w:rsidP="00E14C9D">
            <w:pPr>
              <w:jc w:val="left"/>
              <w:rPr>
                <w:rFonts w:cs="Arial"/>
                <w:sz w:val="20"/>
              </w:rPr>
            </w:pPr>
            <w:r w:rsidRPr="00E14C9D">
              <w:rPr>
                <w:rFonts w:cs="Arial"/>
                <w:sz w:val="20"/>
              </w:rPr>
              <w:t>The following evidence is provided:</w:t>
            </w:r>
          </w:p>
          <w:p w14:paraId="720D29E4" w14:textId="77777777" w:rsidR="008E261E" w:rsidRPr="00BB71D1" w:rsidRDefault="008E261E" w:rsidP="007A2D3E">
            <w:pPr>
              <w:numPr>
                <w:ilvl w:val="0"/>
                <w:numId w:val="55"/>
              </w:numPr>
              <w:ind w:left="466"/>
              <w:jc w:val="left"/>
              <w:rPr>
                <w:sz w:val="20"/>
              </w:rPr>
            </w:pPr>
            <w:r w:rsidRPr="00BB71D1">
              <w:rPr>
                <w:sz w:val="20"/>
              </w:rPr>
              <w:t xml:space="preserve">Calculation showing the capacity of the biogas system(s) in MW </w:t>
            </w:r>
          </w:p>
          <w:p w14:paraId="7E0D0A7B" w14:textId="77777777" w:rsidR="008E261E" w:rsidRPr="00BB71D1" w:rsidRDefault="008E261E" w:rsidP="007A2D3E">
            <w:pPr>
              <w:numPr>
                <w:ilvl w:val="0"/>
                <w:numId w:val="55"/>
              </w:numPr>
              <w:ind w:left="466"/>
              <w:jc w:val="left"/>
              <w:rPr>
                <w:sz w:val="20"/>
              </w:rPr>
            </w:pPr>
            <w:r w:rsidRPr="00BB71D1">
              <w:rPr>
                <w:sz w:val="20"/>
              </w:rPr>
              <w:t>Implementation document (K</w:t>
            </w:r>
            <w:r w:rsidR="00F47639">
              <w:rPr>
                <w:sz w:val="20"/>
              </w:rPr>
              <w:t xml:space="preserve">BP </w:t>
            </w:r>
            <w:r w:rsidRPr="00BB71D1">
              <w:rPr>
                <w:sz w:val="20"/>
              </w:rPr>
              <w:t xml:space="preserve">Programme Implementation Document) </w:t>
            </w:r>
          </w:p>
          <w:p w14:paraId="55581E39" w14:textId="77777777" w:rsidR="008E261E" w:rsidRPr="00E14C9D" w:rsidRDefault="008E261E" w:rsidP="00E14C9D">
            <w:pPr>
              <w:jc w:val="left"/>
              <w:rPr>
                <w:rFonts w:cs="Arial"/>
                <w:sz w:val="20"/>
                <w:lang w:val="fr-FR"/>
              </w:rPr>
            </w:pPr>
          </w:p>
        </w:tc>
      </w:tr>
      <w:tr w:rsidR="008E261E" w:rsidRPr="000C7CA3" w14:paraId="2BA10AB8" w14:textId="77777777" w:rsidTr="00E14C9D">
        <w:trPr>
          <w:cantSplit/>
        </w:trPr>
        <w:tc>
          <w:tcPr>
            <w:tcW w:w="561" w:type="dxa"/>
            <w:shd w:val="clear" w:color="auto" w:fill="auto"/>
            <w:tcMar>
              <w:left w:w="57" w:type="dxa"/>
              <w:right w:w="57" w:type="dxa"/>
            </w:tcMar>
          </w:tcPr>
          <w:p w14:paraId="11C6E684" w14:textId="77777777" w:rsidR="008E261E" w:rsidRDefault="008E261E" w:rsidP="008E261E">
            <w:pPr>
              <w:jc w:val="left"/>
              <w:rPr>
                <w:sz w:val="20"/>
              </w:rPr>
            </w:pPr>
            <w:r>
              <w:rPr>
                <w:sz w:val="20"/>
              </w:rPr>
              <w:lastRenderedPageBreak/>
              <w:t>7</w:t>
            </w:r>
          </w:p>
        </w:tc>
        <w:tc>
          <w:tcPr>
            <w:tcW w:w="2267" w:type="dxa"/>
            <w:shd w:val="clear" w:color="auto" w:fill="auto"/>
            <w:tcMar>
              <w:left w:w="57" w:type="dxa"/>
              <w:right w:w="57" w:type="dxa"/>
            </w:tcMar>
          </w:tcPr>
          <w:p w14:paraId="16861605" w14:textId="77777777" w:rsidR="008E261E" w:rsidRPr="00E14C9D" w:rsidRDefault="008E261E" w:rsidP="00E14C9D">
            <w:pPr>
              <w:jc w:val="left"/>
              <w:rPr>
                <w:rFonts w:cs="Arial"/>
                <w:sz w:val="20"/>
              </w:rPr>
            </w:pPr>
            <w:r w:rsidRPr="00E14C9D">
              <w:rPr>
                <w:rFonts w:cs="Arial"/>
                <w:sz w:val="20"/>
              </w:rPr>
              <w:t>The PoA-specific requirements stipulated by the CME including any conditions related to undertaking local stakeholder consultations and environmental impact analysis</w:t>
            </w:r>
          </w:p>
        </w:tc>
        <w:tc>
          <w:tcPr>
            <w:tcW w:w="2267" w:type="dxa"/>
            <w:shd w:val="clear" w:color="auto" w:fill="auto"/>
            <w:tcMar>
              <w:left w:w="57" w:type="dxa"/>
              <w:right w:w="57" w:type="dxa"/>
            </w:tcMar>
          </w:tcPr>
          <w:p w14:paraId="31077CE8" w14:textId="77777777" w:rsidR="008E261E" w:rsidRPr="00E14C9D" w:rsidRDefault="008E261E" w:rsidP="00E14C9D">
            <w:pPr>
              <w:jc w:val="left"/>
              <w:rPr>
                <w:rFonts w:cs="Arial"/>
                <w:sz w:val="20"/>
              </w:rPr>
            </w:pPr>
            <w:r w:rsidRPr="00E14C9D">
              <w:rPr>
                <w:rFonts w:cs="Arial"/>
                <w:sz w:val="20"/>
              </w:rPr>
              <w:t>1. The VPA, organised a local stakeholder consultation (LSC) in accordance with Gold Standard requirements</w:t>
            </w:r>
          </w:p>
          <w:p w14:paraId="074FA7E0" w14:textId="77777777" w:rsidR="008E261E" w:rsidRPr="00E14C9D" w:rsidRDefault="008E261E" w:rsidP="00E14C9D">
            <w:pPr>
              <w:jc w:val="left"/>
              <w:rPr>
                <w:rFonts w:cs="Arial"/>
                <w:sz w:val="20"/>
              </w:rPr>
            </w:pPr>
            <w:r w:rsidRPr="00E14C9D">
              <w:rPr>
                <w:rFonts w:cs="Arial"/>
                <w:sz w:val="20"/>
              </w:rPr>
              <w:t>2. The VPA, or a group of VPAs, got environmental clearance for the project related activities, if applicable</w:t>
            </w:r>
          </w:p>
          <w:p w14:paraId="15E7FCD1" w14:textId="77777777" w:rsidR="008E261E" w:rsidRPr="00E14C9D" w:rsidRDefault="008E261E" w:rsidP="00E14C9D">
            <w:pPr>
              <w:jc w:val="left"/>
              <w:rPr>
                <w:rFonts w:cs="Arial"/>
                <w:sz w:val="20"/>
              </w:rPr>
            </w:pPr>
          </w:p>
        </w:tc>
        <w:tc>
          <w:tcPr>
            <w:tcW w:w="2267" w:type="dxa"/>
            <w:shd w:val="clear" w:color="auto" w:fill="auto"/>
            <w:tcMar>
              <w:left w:w="57" w:type="dxa"/>
              <w:right w:w="57" w:type="dxa"/>
            </w:tcMar>
          </w:tcPr>
          <w:p w14:paraId="7FDA997D" w14:textId="77777777" w:rsidR="00BB71D1" w:rsidRDefault="00BB71D1" w:rsidP="00E14C9D">
            <w:pPr>
              <w:jc w:val="left"/>
              <w:rPr>
                <w:sz w:val="20"/>
              </w:rPr>
            </w:pPr>
            <w:r w:rsidRPr="00BB71D1">
              <w:rPr>
                <w:sz w:val="20"/>
              </w:rPr>
              <w:t xml:space="preserve">The following documents shall be provided: </w:t>
            </w:r>
          </w:p>
          <w:p w14:paraId="003F6020" w14:textId="77777777" w:rsidR="00BB71D1" w:rsidRDefault="00BB71D1" w:rsidP="00E14C9D">
            <w:pPr>
              <w:jc w:val="left"/>
              <w:rPr>
                <w:sz w:val="20"/>
              </w:rPr>
            </w:pPr>
            <w:r w:rsidRPr="00BB71D1">
              <w:rPr>
                <w:sz w:val="20"/>
              </w:rPr>
              <w:t xml:space="preserve">1. Local Stakeholder Report including comments of stakeholders and how the comments were taken into account by the VPA implementer </w:t>
            </w:r>
          </w:p>
          <w:p w14:paraId="1A576E17" w14:textId="77777777" w:rsidR="008E261E" w:rsidRPr="00BB71D1" w:rsidRDefault="00BB71D1" w:rsidP="00E14C9D">
            <w:pPr>
              <w:jc w:val="left"/>
              <w:rPr>
                <w:sz w:val="20"/>
              </w:rPr>
            </w:pPr>
            <w:r w:rsidRPr="00BB71D1">
              <w:rPr>
                <w:sz w:val="20"/>
              </w:rPr>
              <w:t>2. Environmental clearance letter and/or EIA if required by national regulations</w:t>
            </w:r>
          </w:p>
        </w:tc>
        <w:tc>
          <w:tcPr>
            <w:tcW w:w="2267" w:type="dxa"/>
            <w:tcMar>
              <w:left w:w="57" w:type="dxa"/>
              <w:right w:w="57" w:type="dxa"/>
            </w:tcMar>
          </w:tcPr>
          <w:p w14:paraId="27272041" w14:textId="77777777" w:rsidR="008E261E" w:rsidRPr="00E14C9D" w:rsidRDefault="008E261E" w:rsidP="00E14C9D">
            <w:pPr>
              <w:jc w:val="left"/>
              <w:rPr>
                <w:rFonts w:cs="Arial"/>
                <w:sz w:val="20"/>
              </w:rPr>
            </w:pPr>
            <w:r w:rsidRPr="00E14C9D">
              <w:rPr>
                <w:rFonts w:cs="Arial"/>
                <w:sz w:val="20"/>
              </w:rPr>
              <w:t>The following document is provided:</w:t>
            </w:r>
          </w:p>
          <w:p w14:paraId="230D32CA" w14:textId="77777777" w:rsidR="008E261E" w:rsidRPr="00602C06" w:rsidRDefault="008E261E" w:rsidP="007A2D3E">
            <w:pPr>
              <w:numPr>
                <w:ilvl w:val="0"/>
                <w:numId w:val="47"/>
              </w:numPr>
              <w:jc w:val="left"/>
              <w:rPr>
                <w:rFonts w:cs="Arial"/>
                <w:sz w:val="20"/>
              </w:rPr>
            </w:pPr>
            <w:r w:rsidRPr="00602C06">
              <w:rPr>
                <w:rFonts w:cs="Arial"/>
                <w:sz w:val="20"/>
              </w:rPr>
              <w:t>Local Stakeholder Report (Kenya)</w:t>
            </w:r>
            <w:r w:rsidR="00F03528">
              <w:rPr>
                <w:rFonts w:cs="Arial"/>
                <w:sz w:val="20"/>
              </w:rPr>
              <w:t xml:space="preserve"> for VPA1</w:t>
            </w:r>
          </w:p>
          <w:p w14:paraId="4C623EE2" w14:textId="77777777" w:rsidR="008E261E" w:rsidRPr="00E14C9D" w:rsidRDefault="008E261E" w:rsidP="00E14C9D">
            <w:pPr>
              <w:jc w:val="left"/>
              <w:rPr>
                <w:rFonts w:cs="Arial"/>
                <w:sz w:val="20"/>
              </w:rPr>
            </w:pPr>
          </w:p>
          <w:p w14:paraId="70133339" w14:textId="77777777" w:rsidR="008E261E" w:rsidRPr="00E14C9D" w:rsidRDefault="008E261E" w:rsidP="00E14C9D">
            <w:pPr>
              <w:jc w:val="left"/>
              <w:rPr>
                <w:rFonts w:cs="Arial"/>
                <w:sz w:val="20"/>
              </w:rPr>
            </w:pPr>
            <w:r w:rsidRPr="00E14C9D">
              <w:rPr>
                <w:rFonts w:cs="Arial"/>
                <w:sz w:val="20"/>
              </w:rPr>
              <w:t>An environmental impact assessment is not required for activities implementing household biodigesters in Kenya, as stipulated by the Environmental Management and Coordination Act, 1999 (see Section B.1 above)</w:t>
            </w:r>
          </w:p>
        </w:tc>
      </w:tr>
      <w:tr w:rsidR="008E261E" w:rsidRPr="000C7CA3" w14:paraId="5919A39A" w14:textId="77777777" w:rsidTr="00E14C9D">
        <w:trPr>
          <w:cantSplit/>
        </w:trPr>
        <w:tc>
          <w:tcPr>
            <w:tcW w:w="561" w:type="dxa"/>
            <w:shd w:val="clear" w:color="auto" w:fill="auto"/>
            <w:tcMar>
              <w:left w:w="57" w:type="dxa"/>
              <w:right w:w="57" w:type="dxa"/>
            </w:tcMar>
          </w:tcPr>
          <w:p w14:paraId="5C24F5CE" w14:textId="77777777" w:rsidR="008E261E" w:rsidRDefault="008E261E" w:rsidP="008E261E">
            <w:pPr>
              <w:jc w:val="left"/>
              <w:rPr>
                <w:sz w:val="20"/>
              </w:rPr>
            </w:pPr>
            <w:r>
              <w:rPr>
                <w:sz w:val="20"/>
              </w:rPr>
              <w:t>8</w:t>
            </w:r>
          </w:p>
        </w:tc>
        <w:tc>
          <w:tcPr>
            <w:tcW w:w="2267" w:type="dxa"/>
            <w:shd w:val="clear" w:color="auto" w:fill="auto"/>
            <w:tcMar>
              <w:left w:w="57" w:type="dxa"/>
              <w:right w:w="57" w:type="dxa"/>
            </w:tcMar>
          </w:tcPr>
          <w:p w14:paraId="10F6CC2F" w14:textId="77777777" w:rsidR="008E261E" w:rsidRPr="00E14C9D" w:rsidRDefault="008E261E" w:rsidP="00E14C9D">
            <w:pPr>
              <w:jc w:val="left"/>
              <w:rPr>
                <w:rFonts w:cs="Arial"/>
                <w:sz w:val="20"/>
              </w:rPr>
            </w:pPr>
            <w:r w:rsidRPr="00E14C9D">
              <w:rPr>
                <w:rFonts w:cs="Arial"/>
                <w:sz w:val="20"/>
              </w:rPr>
              <w:t>Conditions to provide an affirmation that funding from Annex I parties, if any, does not result in a diversion of official development assistance</w:t>
            </w:r>
          </w:p>
        </w:tc>
        <w:tc>
          <w:tcPr>
            <w:tcW w:w="2267" w:type="dxa"/>
            <w:shd w:val="clear" w:color="auto" w:fill="auto"/>
            <w:tcMar>
              <w:left w:w="57" w:type="dxa"/>
              <w:right w:w="57" w:type="dxa"/>
            </w:tcMar>
          </w:tcPr>
          <w:p w14:paraId="6703F393" w14:textId="77777777" w:rsidR="008E261E" w:rsidRPr="00E14C9D" w:rsidRDefault="008E261E" w:rsidP="00E14C9D">
            <w:pPr>
              <w:jc w:val="left"/>
              <w:rPr>
                <w:rFonts w:cs="Arial"/>
                <w:sz w:val="20"/>
              </w:rPr>
            </w:pPr>
            <w:r w:rsidRPr="00E14C9D">
              <w:rPr>
                <w:rFonts w:cs="Arial"/>
                <w:sz w:val="20"/>
              </w:rPr>
              <w:t>The VPA will demonstrate that</w:t>
            </w:r>
            <w:r w:rsidRPr="00E14C9D">
              <w:rPr>
                <w:rFonts w:cs="Arial"/>
                <w:sz w:val="20"/>
                <w:lang w:val="en-US"/>
              </w:rPr>
              <w:t xml:space="preserve"> any Official Development Assistance received for the VPA has not occurred on the condition that the resulting credits are transferred to the donor country</w:t>
            </w:r>
            <w:r w:rsidRPr="00E14C9D">
              <w:rPr>
                <w:rFonts w:cs="Arial"/>
                <w:sz w:val="20"/>
                <w:vertAlign w:val="superscript"/>
                <w:lang w:val="nl-NL"/>
              </w:rPr>
              <w:footnoteReference w:id="44"/>
            </w:r>
            <w:r w:rsidRPr="00E14C9D">
              <w:rPr>
                <w:rFonts w:cs="Arial"/>
                <w:sz w:val="20"/>
                <w:lang w:val="en-US"/>
              </w:rPr>
              <w:t>.</w:t>
            </w:r>
          </w:p>
        </w:tc>
        <w:tc>
          <w:tcPr>
            <w:tcW w:w="2267" w:type="dxa"/>
            <w:shd w:val="clear" w:color="auto" w:fill="auto"/>
            <w:tcMar>
              <w:left w:w="57" w:type="dxa"/>
              <w:right w:w="57" w:type="dxa"/>
            </w:tcMar>
          </w:tcPr>
          <w:p w14:paraId="1DA439B4" w14:textId="77777777" w:rsidR="00BB71D1" w:rsidRPr="00F47639" w:rsidRDefault="00BB71D1" w:rsidP="00BB71D1">
            <w:pPr>
              <w:jc w:val="left"/>
              <w:rPr>
                <w:rFonts w:cs="Arial"/>
                <w:sz w:val="20"/>
              </w:rPr>
            </w:pPr>
            <w:r w:rsidRPr="00F47639">
              <w:rPr>
                <w:rFonts w:cs="Arial"/>
                <w:sz w:val="20"/>
              </w:rPr>
              <w:t xml:space="preserve">Verifiable evidence: </w:t>
            </w:r>
          </w:p>
          <w:p w14:paraId="40466610" w14:textId="77777777" w:rsidR="008E261E" w:rsidRPr="00F47639" w:rsidRDefault="00BB71D1" w:rsidP="007A2D3E">
            <w:pPr>
              <w:numPr>
                <w:ilvl w:val="0"/>
                <w:numId w:val="47"/>
              </w:numPr>
              <w:jc w:val="left"/>
              <w:rPr>
                <w:rFonts w:cs="Arial"/>
                <w:sz w:val="20"/>
              </w:rPr>
            </w:pPr>
            <w:r w:rsidRPr="00F47639">
              <w:rPr>
                <w:rFonts w:cs="Arial"/>
                <w:sz w:val="20"/>
              </w:rPr>
              <w:t>ODA Declaration</w:t>
            </w:r>
          </w:p>
          <w:p w14:paraId="67C64C13" w14:textId="77777777" w:rsidR="00BB71D1" w:rsidRPr="00F47639" w:rsidRDefault="00BB71D1" w:rsidP="00BB71D1">
            <w:pPr>
              <w:jc w:val="left"/>
              <w:rPr>
                <w:rFonts w:cs="Arial"/>
                <w:sz w:val="20"/>
              </w:rPr>
            </w:pPr>
          </w:p>
        </w:tc>
        <w:tc>
          <w:tcPr>
            <w:tcW w:w="2267" w:type="dxa"/>
            <w:tcMar>
              <w:left w:w="57" w:type="dxa"/>
              <w:right w:w="57" w:type="dxa"/>
            </w:tcMar>
          </w:tcPr>
          <w:p w14:paraId="3D61740E" w14:textId="77777777" w:rsidR="008E261E" w:rsidRPr="00F47639" w:rsidRDefault="008E261E" w:rsidP="00BB71D1">
            <w:pPr>
              <w:jc w:val="left"/>
              <w:rPr>
                <w:rFonts w:cs="Arial"/>
                <w:sz w:val="20"/>
              </w:rPr>
            </w:pPr>
            <w:r w:rsidRPr="00F47639">
              <w:rPr>
                <w:rFonts w:cs="Arial"/>
                <w:sz w:val="20"/>
              </w:rPr>
              <w:t>The following document is provided:</w:t>
            </w:r>
          </w:p>
          <w:p w14:paraId="5EAE204A" w14:textId="77777777" w:rsidR="008E261E" w:rsidRPr="00F47639" w:rsidRDefault="008E261E" w:rsidP="007A2D3E">
            <w:pPr>
              <w:numPr>
                <w:ilvl w:val="0"/>
                <w:numId w:val="47"/>
              </w:numPr>
              <w:jc w:val="left"/>
              <w:rPr>
                <w:rFonts w:cs="Arial"/>
                <w:sz w:val="20"/>
              </w:rPr>
            </w:pPr>
            <w:r w:rsidRPr="00F47639">
              <w:rPr>
                <w:rFonts w:cs="Arial"/>
                <w:sz w:val="20"/>
              </w:rPr>
              <w:t>ODA Declaration</w:t>
            </w:r>
          </w:p>
        </w:tc>
      </w:tr>
      <w:tr w:rsidR="008E261E" w:rsidRPr="000C7CA3" w14:paraId="1904A2CB" w14:textId="77777777" w:rsidTr="00E14C9D">
        <w:trPr>
          <w:cantSplit/>
        </w:trPr>
        <w:tc>
          <w:tcPr>
            <w:tcW w:w="561" w:type="dxa"/>
            <w:shd w:val="clear" w:color="auto" w:fill="auto"/>
            <w:tcMar>
              <w:left w:w="57" w:type="dxa"/>
              <w:right w:w="57" w:type="dxa"/>
            </w:tcMar>
          </w:tcPr>
          <w:p w14:paraId="47A63A4A" w14:textId="77777777" w:rsidR="008E261E" w:rsidRDefault="008E261E" w:rsidP="008E261E">
            <w:pPr>
              <w:jc w:val="left"/>
              <w:rPr>
                <w:sz w:val="20"/>
              </w:rPr>
            </w:pPr>
            <w:r>
              <w:rPr>
                <w:sz w:val="20"/>
              </w:rPr>
              <w:t>9</w:t>
            </w:r>
          </w:p>
        </w:tc>
        <w:tc>
          <w:tcPr>
            <w:tcW w:w="2267" w:type="dxa"/>
            <w:shd w:val="clear" w:color="auto" w:fill="auto"/>
            <w:tcMar>
              <w:left w:w="57" w:type="dxa"/>
              <w:right w:w="57" w:type="dxa"/>
            </w:tcMar>
          </w:tcPr>
          <w:p w14:paraId="4F16FF93" w14:textId="77777777" w:rsidR="008E261E" w:rsidRPr="00E14C9D" w:rsidRDefault="008E261E" w:rsidP="00E14C9D">
            <w:pPr>
              <w:jc w:val="left"/>
              <w:rPr>
                <w:rFonts w:cs="Arial"/>
                <w:sz w:val="20"/>
              </w:rPr>
            </w:pPr>
            <w:r w:rsidRPr="00E14C9D">
              <w:rPr>
                <w:rFonts w:cs="Arial"/>
                <w:sz w:val="20"/>
              </w:rPr>
              <w:t>Where applicable, target group (e.g. domestic / commercial / industrial, rural / urban, grid connected / off-grid) and distribution mechanisms (e.g. direct installation)</w:t>
            </w:r>
          </w:p>
        </w:tc>
        <w:tc>
          <w:tcPr>
            <w:tcW w:w="2267" w:type="dxa"/>
            <w:shd w:val="clear" w:color="auto" w:fill="auto"/>
            <w:tcMar>
              <w:left w:w="57" w:type="dxa"/>
              <w:right w:w="57" w:type="dxa"/>
            </w:tcMar>
          </w:tcPr>
          <w:p w14:paraId="40578A50" w14:textId="77777777" w:rsidR="008E261E" w:rsidRPr="00E14C9D" w:rsidRDefault="008E261E" w:rsidP="00E14C9D">
            <w:pPr>
              <w:jc w:val="left"/>
              <w:rPr>
                <w:rFonts w:cs="Arial"/>
                <w:sz w:val="20"/>
              </w:rPr>
            </w:pPr>
            <w:r w:rsidRPr="00E14C9D">
              <w:rPr>
                <w:rFonts w:cs="Arial"/>
                <w:sz w:val="20"/>
              </w:rPr>
              <w:t>The VPA will demonstrate which target group(s) is/are to be targeted by the VPA and the distribution mechanism. Target groups shall include:</w:t>
            </w:r>
          </w:p>
          <w:p w14:paraId="7961E5B7" w14:textId="77777777" w:rsidR="008E261E" w:rsidRPr="00E14C9D" w:rsidRDefault="008E261E" w:rsidP="007A2D3E">
            <w:pPr>
              <w:numPr>
                <w:ilvl w:val="0"/>
                <w:numId w:val="45"/>
              </w:numPr>
              <w:jc w:val="left"/>
              <w:rPr>
                <w:rFonts w:cs="Arial"/>
                <w:sz w:val="20"/>
              </w:rPr>
            </w:pPr>
            <w:r w:rsidRPr="00E14C9D">
              <w:rPr>
                <w:rFonts w:cs="Arial"/>
                <w:sz w:val="20"/>
              </w:rPr>
              <w:t>Households</w:t>
            </w:r>
          </w:p>
          <w:p w14:paraId="3BB6A8B3" w14:textId="77777777" w:rsidR="00E14C9D" w:rsidRDefault="008E261E" w:rsidP="007A2D3E">
            <w:pPr>
              <w:numPr>
                <w:ilvl w:val="0"/>
                <w:numId w:val="45"/>
              </w:numPr>
              <w:jc w:val="left"/>
              <w:rPr>
                <w:rFonts w:cs="Arial"/>
                <w:sz w:val="20"/>
              </w:rPr>
            </w:pPr>
            <w:r w:rsidRPr="00E14C9D">
              <w:rPr>
                <w:rFonts w:cs="Arial"/>
                <w:sz w:val="20"/>
              </w:rPr>
              <w:t>Small/Medium Enterprises</w:t>
            </w:r>
          </w:p>
          <w:p w14:paraId="6972A162" w14:textId="77777777" w:rsidR="008E261E" w:rsidRPr="00E14C9D" w:rsidRDefault="008E261E" w:rsidP="007A2D3E">
            <w:pPr>
              <w:numPr>
                <w:ilvl w:val="0"/>
                <w:numId w:val="45"/>
              </w:numPr>
              <w:jc w:val="left"/>
              <w:rPr>
                <w:rFonts w:cs="Arial"/>
                <w:sz w:val="20"/>
              </w:rPr>
            </w:pPr>
            <w:r w:rsidRPr="00E14C9D">
              <w:rPr>
                <w:rFonts w:cs="Arial"/>
                <w:sz w:val="20"/>
              </w:rPr>
              <w:t>Communities</w:t>
            </w:r>
          </w:p>
        </w:tc>
        <w:tc>
          <w:tcPr>
            <w:tcW w:w="2267" w:type="dxa"/>
            <w:shd w:val="clear" w:color="auto" w:fill="auto"/>
            <w:tcMar>
              <w:left w:w="57" w:type="dxa"/>
              <w:right w:w="57" w:type="dxa"/>
            </w:tcMar>
          </w:tcPr>
          <w:p w14:paraId="6DA61BF1" w14:textId="77777777" w:rsidR="00BB1543" w:rsidRPr="0064412D" w:rsidRDefault="00BB1543" w:rsidP="00E14C9D">
            <w:pPr>
              <w:jc w:val="left"/>
              <w:rPr>
                <w:sz w:val="20"/>
              </w:rPr>
            </w:pPr>
            <w:r w:rsidRPr="0064412D">
              <w:rPr>
                <w:sz w:val="20"/>
              </w:rPr>
              <w:t xml:space="preserve">Any of the following documents shall be provided: </w:t>
            </w:r>
          </w:p>
          <w:p w14:paraId="188AE99C" w14:textId="77777777" w:rsidR="00BB1543" w:rsidRPr="0064412D" w:rsidRDefault="00BB1543" w:rsidP="007A2D3E">
            <w:pPr>
              <w:numPr>
                <w:ilvl w:val="0"/>
                <w:numId w:val="47"/>
              </w:numPr>
              <w:jc w:val="left"/>
              <w:rPr>
                <w:rFonts w:cs="Arial"/>
                <w:sz w:val="20"/>
              </w:rPr>
            </w:pPr>
            <w:r w:rsidRPr="0064412D">
              <w:rPr>
                <w:rFonts w:cs="Arial"/>
                <w:sz w:val="20"/>
              </w:rPr>
              <w:t xml:space="preserve">Sales forecast </w:t>
            </w:r>
          </w:p>
          <w:p w14:paraId="2430BF4B" w14:textId="77777777" w:rsidR="00BB1543" w:rsidRPr="0064412D" w:rsidRDefault="00BB1543" w:rsidP="007A2D3E">
            <w:pPr>
              <w:numPr>
                <w:ilvl w:val="0"/>
                <w:numId w:val="47"/>
              </w:numPr>
              <w:jc w:val="left"/>
              <w:rPr>
                <w:rFonts w:cs="Arial"/>
                <w:sz w:val="20"/>
              </w:rPr>
            </w:pPr>
            <w:r w:rsidRPr="0064412D">
              <w:rPr>
                <w:rFonts w:cs="Arial"/>
                <w:sz w:val="20"/>
              </w:rPr>
              <w:t xml:space="preserve">Marketing plan </w:t>
            </w:r>
          </w:p>
          <w:p w14:paraId="7D276DDE" w14:textId="77777777" w:rsidR="00BB1543" w:rsidRPr="0064412D" w:rsidRDefault="00BB1543" w:rsidP="007A2D3E">
            <w:pPr>
              <w:numPr>
                <w:ilvl w:val="0"/>
                <w:numId w:val="47"/>
              </w:numPr>
              <w:jc w:val="left"/>
              <w:rPr>
                <w:rFonts w:cs="Arial"/>
                <w:sz w:val="20"/>
              </w:rPr>
            </w:pPr>
            <w:r w:rsidRPr="0064412D">
              <w:rPr>
                <w:rFonts w:cs="Arial"/>
                <w:sz w:val="20"/>
              </w:rPr>
              <w:t xml:space="preserve">Description of technology (e.g. domestic or institutional biogas system) </w:t>
            </w:r>
          </w:p>
          <w:p w14:paraId="6CAEE4BE" w14:textId="77777777" w:rsidR="008E261E" w:rsidRPr="0064412D" w:rsidRDefault="00BB1543" w:rsidP="007A2D3E">
            <w:pPr>
              <w:numPr>
                <w:ilvl w:val="0"/>
                <w:numId w:val="47"/>
              </w:numPr>
              <w:jc w:val="left"/>
              <w:rPr>
                <w:sz w:val="20"/>
              </w:rPr>
            </w:pPr>
            <w:r w:rsidRPr="0064412D">
              <w:rPr>
                <w:rFonts w:cs="Arial"/>
                <w:sz w:val="20"/>
              </w:rPr>
              <w:t>Implementation document</w:t>
            </w:r>
          </w:p>
        </w:tc>
        <w:tc>
          <w:tcPr>
            <w:tcW w:w="2267" w:type="dxa"/>
            <w:tcMar>
              <w:left w:w="57" w:type="dxa"/>
              <w:right w:w="57" w:type="dxa"/>
            </w:tcMar>
          </w:tcPr>
          <w:p w14:paraId="0C8A3A0C" w14:textId="77777777" w:rsidR="008E261E" w:rsidRPr="00E14C9D" w:rsidRDefault="008E261E" w:rsidP="00E14C9D">
            <w:pPr>
              <w:jc w:val="left"/>
              <w:rPr>
                <w:rFonts w:cs="Arial"/>
                <w:sz w:val="20"/>
              </w:rPr>
            </w:pPr>
            <w:r w:rsidRPr="00E14C9D">
              <w:rPr>
                <w:rFonts w:cs="Arial"/>
                <w:sz w:val="20"/>
              </w:rPr>
              <w:t>The following document is provided:</w:t>
            </w:r>
          </w:p>
          <w:p w14:paraId="2DE19CED" w14:textId="77777777" w:rsidR="008E261E" w:rsidRPr="004745B6" w:rsidRDefault="008E261E" w:rsidP="004745B6">
            <w:pPr>
              <w:numPr>
                <w:ilvl w:val="0"/>
                <w:numId w:val="47"/>
              </w:numPr>
              <w:jc w:val="left"/>
              <w:rPr>
                <w:rFonts w:cs="Arial"/>
                <w:sz w:val="20"/>
              </w:rPr>
            </w:pPr>
            <w:r w:rsidRPr="004745B6">
              <w:rPr>
                <w:rFonts w:cs="Arial"/>
                <w:sz w:val="20"/>
              </w:rPr>
              <w:t>Implementation document (KENDBIP Programme Implementation Document)</w:t>
            </w:r>
          </w:p>
          <w:p w14:paraId="434DFD46" w14:textId="77777777" w:rsidR="008E261E" w:rsidRPr="004745B6" w:rsidRDefault="008E261E" w:rsidP="004745B6">
            <w:pPr>
              <w:numPr>
                <w:ilvl w:val="0"/>
                <w:numId w:val="47"/>
              </w:numPr>
              <w:jc w:val="left"/>
              <w:rPr>
                <w:rFonts w:cs="Arial"/>
                <w:sz w:val="20"/>
              </w:rPr>
            </w:pPr>
            <w:r w:rsidRPr="00E14C9D">
              <w:rPr>
                <w:rFonts w:cs="Arial"/>
                <w:sz w:val="20"/>
              </w:rPr>
              <w:t xml:space="preserve">The VPA shall include households as the target group. </w:t>
            </w:r>
          </w:p>
          <w:p w14:paraId="21FA43B8" w14:textId="77777777" w:rsidR="008E261E" w:rsidRPr="00E14C9D" w:rsidRDefault="008E261E" w:rsidP="004745B6">
            <w:pPr>
              <w:numPr>
                <w:ilvl w:val="0"/>
                <w:numId w:val="47"/>
              </w:numPr>
              <w:jc w:val="left"/>
              <w:rPr>
                <w:rFonts w:cs="Arial"/>
                <w:sz w:val="20"/>
              </w:rPr>
            </w:pPr>
            <w:r w:rsidRPr="00E14C9D">
              <w:rPr>
                <w:rFonts w:cs="Arial"/>
                <w:sz w:val="20"/>
              </w:rPr>
              <w:t>The biogas digesters are directly installed at the user’s household.</w:t>
            </w:r>
          </w:p>
        </w:tc>
      </w:tr>
      <w:tr w:rsidR="008E261E" w:rsidRPr="000C7CA3" w14:paraId="0655B286" w14:textId="77777777" w:rsidTr="00E14C9D">
        <w:trPr>
          <w:cantSplit/>
        </w:trPr>
        <w:tc>
          <w:tcPr>
            <w:tcW w:w="561" w:type="dxa"/>
            <w:shd w:val="clear" w:color="auto" w:fill="auto"/>
            <w:tcMar>
              <w:left w:w="57" w:type="dxa"/>
              <w:right w:w="57" w:type="dxa"/>
            </w:tcMar>
          </w:tcPr>
          <w:p w14:paraId="61E5FB05" w14:textId="77777777" w:rsidR="008E261E" w:rsidRDefault="008E261E" w:rsidP="008E261E">
            <w:pPr>
              <w:jc w:val="left"/>
              <w:rPr>
                <w:sz w:val="20"/>
              </w:rPr>
            </w:pPr>
            <w:r>
              <w:rPr>
                <w:sz w:val="20"/>
              </w:rPr>
              <w:t>10</w:t>
            </w:r>
          </w:p>
        </w:tc>
        <w:tc>
          <w:tcPr>
            <w:tcW w:w="2267" w:type="dxa"/>
            <w:shd w:val="clear" w:color="auto" w:fill="auto"/>
            <w:tcMar>
              <w:left w:w="57" w:type="dxa"/>
              <w:right w:w="57" w:type="dxa"/>
            </w:tcMar>
          </w:tcPr>
          <w:p w14:paraId="4EDBCE46" w14:textId="77777777" w:rsidR="008E261E" w:rsidRPr="00E14C9D" w:rsidRDefault="008E261E" w:rsidP="00E14C9D">
            <w:pPr>
              <w:jc w:val="left"/>
              <w:rPr>
                <w:rFonts w:cs="Arial"/>
                <w:sz w:val="20"/>
              </w:rPr>
            </w:pPr>
            <w:r w:rsidRPr="00E14C9D">
              <w:rPr>
                <w:rFonts w:cs="Arial"/>
                <w:sz w:val="20"/>
              </w:rPr>
              <w:t>Where applicable, the conditions related to sampling requirements for a PoA in accordance with the approved guidelines/standard from the Board pertaining to sampling and surveys</w:t>
            </w:r>
          </w:p>
        </w:tc>
        <w:tc>
          <w:tcPr>
            <w:tcW w:w="2267" w:type="dxa"/>
            <w:shd w:val="clear" w:color="auto" w:fill="auto"/>
            <w:tcMar>
              <w:left w:w="57" w:type="dxa"/>
              <w:right w:w="57" w:type="dxa"/>
            </w:tcMar>
          </w:tcPr>
          <w:p w14:paraId="61853D00" w14:textId="77777777" w:rsidR="008E261E" w:rsidRPr="00E14C9D" w:rsidRDefault="008E261E" w:rsidP="00E14C9D">
            <w:pPr>
              <w:jc w:val="left"/>
              <w:rPr>
                <w:rFonts w:cs="Arial"/>
                <w:sz w:val="20"/>
              </w:rPr>
            </w:pPr>
            <w:r w:rsidRPr="00E14C9D">
              <w:rPr>
                <w:rFonts w:cs="Arial"/>
                <w:sz w:val="20"/>
              </w:rPr>
              <w:t>The VPA Implementer will agree to support the sampling and survey activities of CME in accordance with B.7.2 of the PoA-DD.</w:t>
            </w:r>
          </w:p>
        </w:tc>
        <w:tc>
          <w:tcPr>
            <w:tcW w:w="2267" w:type="dxa"/>
            <w:shd w:val="clear" w:color="auto" w:fill="auto"/>
            <w:tcMar>
              <w:left w:w="57" w:type="dxa"/>
              <w:right w:w="57" w:type="dxa"/>
            </w:tcMar>
          </w:tcPr>
          <w:p w14:paraId="4F822694" w14:textId="77777777" w:rsidR="008E261E" w:rsidRPr="0064412D" w:rsidRDefault="0064412D" w:rsidP="00E14C9D">
            <w:pPr>
              <w:jc w:val="left"/>
              <w:rPr>
                <w:sz w:val="20"/>
              </w:rPr>
            </w:pPr>
            <w:r w:rsidRPr="0064412D">
              <w:rPr>
                <w:sz w:val="20"/>
              </w:rPr>
              <w:t>Contractual agreement between CME and VPA Implementer</w:t>
            </w:r>
          </w:p>
        </w:tc>
        <w:tc>
          <w:tcPr>
            <w:tcW w:w="2267" w:type="dxa"/>
            <w:tcMar>
              <w:left w:w="57" w:type="dxa"/>
              <w:right w:w="57" w:type="dxa"/>
            </w:tcMar>
          </w:tcPr>
          <w:p w14:paraId="4F0EE617" w14:textId="77777777" w:rsidR="008E261E" w:rsidRPr="00E14C9D" w:rsidRDefault="008E261E" w:rsidP="00E14C9D">
            <w:pPr>
              <w:jc w:val="left"/>
              <w:rPr>
                <w:rFonts w:cs="Arial"/>
                <w:sz w:val="20"/>
              </w:rPr>
            </w:pPr>
            <w:r w:rsidRPr="00E14C9D">
              <w:rPr>
                <w:rFonts w:cs="Arial"/>
                <w:sz w:val="20"/>
              </w:rPr>
              <w:t>The following document is provided:</w:t>
            </w:r>
          </w:p>
          <w:p w14:paraId="099DD088" w14:textId="77777777" w:rsidR="008E261E" w:rsidRPr="00E14C9D" w:rsidRDefault="008E261E" w:rsidP="00E14C9D">
            <w:pPr>
              <w:jc w:val="left"/>
              <w:rPr>
                <w:rFonts w:cs="Arial"/>
                <w:sz w:val="20"/>
              </w:rPr>
            </w:pPr>
            <w:r w:rsidRPr="00F47639">
              <w:rPr>
                <w:rFonts w:cs="Arial"/>
                <w:sz w:val="20"/>
              </w:rPr>
              <w:t xml:space="preserve">Contractual agreement between CME and </w:t>
            </w:r>
            <w:r w:rsidR="005B102C" w:rsidRPr="00F47639">
              <w:rPr>
                <w:rFonts w:cs="Arial"/>
                <w:sz w:val="20"/>
              </w:rPr>
              <w:t>VPA implementer</w:t>
            </w:r>
          </w:p>
        </w:tc>
      </w:tr>
      <w:tr w:rsidR="008E261E" w:rsidRPr="000C7CA3" w14:paraId="73B4B9F9" w14:textId="77777777" w:rsidTr="00E14C9D">
        <w:trPr>
          <w:cantSplit/>
        </w:trPr>
        <w:tc>
          <w:tcPr>
            <w:tcW w:w="561" w:type="dxa"/>
            <w:shd w:val="clear" w:color="auto" w:fill="auto"/>
            <w:tcMar>
              <w:left w:w="57" w:type="dxa"/>
              <w:right w:w="57" w:type="dxa"/>
            </w:tcMar>
          </w:tcPr>
          <w:p w14:paraId="20AE6C3D" w14:textId="77777777" w:rsidR="008E261E" w:rsidRDefault="008E261E" w:rsidP="008E261E">
            <w:pPr>
              <w:jc w:val="left"/>
              <w:rPr>
                <w:sz w:val="20"/>
              </w:rPr>
            </w:pPr>
            <w:r>
              <w:rPr>
                <w:sz w:val="20"/>
              </w:rPr>
              <w:lastRenderedPageBreak/>
              <w:t>11</w:t>
            </w:r>
          </w:p>
        </w:tc>
        <w:tc>
          <w:tcPr>
            <w:tcW w:w="2267" w:type="dxa"/>
            <w:shd w:val="clear" w:color="auto" w:fill="auto"/>
            <w:tcMar>
              <w:left w:w="57" w:type="dxa"/>
              <w:right w:w="57" w:type="dxa"/>
            </w:tcMar>
          </w:tcPr>
          <w:p w14:paraId="5E7B246B" w14:textId="77777777" w:rsidR="008E261E" w:rsidRPr="00E14C9D" w:rsidRDefault="008E261E" w:rsidP="00E14C9D">
            <w:pPr>
              <w:jc w:val="left"/>
              <w:rPr>
                <w:rFonts w:cs="Arial"/>
                <w:sz w:val="20"/>
              </w:rPr>
            </w:pPr>
            <w:r w:rsidRPr="00E14C9D">
              <w:rPr>
                <w:rFonts w:cs="Arial"/>
                <w:sz w:val="20"/>
              </w:rPr>
              <w:t>Where applicable, the conditions that ensure that every VPA in aggregate meets the small-scale threshold criteria and remains within those thresholds throughout the crediting period of the VPA</w:t>
            </w:r>
          </w:p>
        </w:tc>
        <w:tc>
          <w:tcPr>
            <w:tcW w:w="2267" w:type="dxa"/>
            <w:shd w:val="clear" w:color="auto" w:fill="auto"/>
            <w:tcMar>
              <w:left w:w="57" w:type="dxa"/>
              <w:right w:w="57" w:type="dxa"/>
            </w:tcMar>
          </w:tcPr>
          <w:p w14:paraId="353108EB" w14:textId="77777777" w:rsidR="008E261E" w:rsidRPr="00E14C9D" w:rsidRDefault="008E261E" w:rsidP="00E14C9D">
            <w:pPr>
              <w:jc w:val="left"/>
              <w:rPr>
                <w:rFonts w:cs="Arial"/>
                <w:sz w:val="20"/>
              </w:rPr>
            </w:pPr>
            <w:r w:rsidRPr="00E14C9D">
              <w:rPr>
                <w:rFonts w:cs="Arial"/>
                <w:sz w:val="20"/>
              </w:rPr>
              <w:t>The VPA Implementer will ensure that each VPA remains below the small scale limits. For activities falling under Type I</w:t>
            </w:r>
            <w:r w:rsidRPr="00E14C9D">
              <w:rPr>
                <w:rStyle w:val="FootnoteReference"/>
                <w:rFonts w:cs="Arial"/>
                <w:sz w:val="20"/>
              </w:rPr>
              <w:footnoteReference w:id="45"/>
            </w:r>
            <w:r w:rsidRPr="00E14C9D">
              <w:rPr>
                <w:rFonts w:cs="Arial"/>
                <w:sz w:val="20"/>
              </w:rPr>
              <w:t>, each VPA in aggregate will remain below 15 MW (45MW</w:t>
            </w:r>
            <w:r w:rsidRPr="00E14C9D">
              <w:rPr>
                <w:rFonts w:cs="Arial"/>
                <w:sz w:val="20"/>
                <w:vertAlign w:val="subscript"/>
              </w:rPr>
              <w:t>th</w:t>
            </w:r>
            <w:r w:rsidRPr="00E14C9D">
              <w:rPr>
                <w:rFonts w:cs="Arial"/>
                <w:sz w:val="20"/>
              </w:rPr>
              <w:t>) per year. For activities falling under Type III</w:t>
            </w:r>
            <w:r w:rsidRPr="00E14C9D">
              <w:rPr>
                <w:rStyle w:val="FootnoteReference"/>
                <w:rFonts w:cs="Arial"/>
                <w:sz w:val="20"/>
              </w:rPr>
              <w:footnoteReference w:id="46"/>
            </w:r>
            <w:r w:rsidRPr="00E14C9D">
              <w:rPr>
                <w:rFonts w:cs="Arial"/>
                <w:sz w:val="20"/>
              </w:rPr>
              <w:t>, each VPA will achieve below 60,000 tCO</w:t>
            </w:r>
            <w:r w:rsidRPr="00E14C9D">
              <w:rPr>
                <w:rFonts w:cs="Arial"/>
                <w:sz w:val="20"/>
                <w:vertAlign w:val="subscript"/>
              </w:rPr>
              <w:t>2</w:t>
            </w:r>
            <w:r w:rsidRPr="00E14C9D">
              <w:rPr>
                <w:rFonts w:cs="Arial"/>
                <w:sz w:val="20"/>
              </w:rPr>
              <w:t>e in emission reductions annually.</w:t>
            </w:r>
          </w:p>
          <w:p w14:paraId="352FF65D" w14:textId="77777777" w:rsidR="008E261E" w:rsidRPr="00E14C9D" w:rsidRDefault="008E261E" w:rsidP="00E14C9D">
            <w:pPr>
              <w:jc w:val="left"/>
              <w:rPr>
                <w:rFonts w:cs="Arial"/>
                <w:sz w:val="20"/>
              </w:rPr>
            </w:pPr>
          </w:p>
        </w:tc>
        <w:tc>
          <w:tcPr>
            <w:tcW w:w="2267" w:type="dxa"/>
            <w:shd w:val="clear" w:color="auto" w:fill="auto"/>
            <w:tcMar>
              <w:left w:w="57" w:type="dxa"/>
              <w:right w:w="57" w:type="dxa"/>
            </w:tcMar>
          </w:tcPr>
          <w:p w14:paraId="0C0B2335" w14:textId="77777777" w:rsidR="0064412D" w:rsidRPr="0064412D" w:rsidRDefault="0064412D" w:rsidP="00E14C9D">
            <w:pPr>
              <w:jc w:val="left"/>
              <w:rPr>
                <w:sz w:val="20"/>
              </w:rPr>
            </w:pPr>
            <w:r w:rsidRPr="0064412D">
              <w:rPr>
                <w:sz w:val="20"/>
              </w:rPr>
              <w:t xml:space="preserve">Any of the following documents shall be provided: </w:t>
            </w:r>
          </w:p>
          <w:p w14:paraId="22525E6E" w14:textId="77777777" w:rsidR="0064412D" w:rsidRPr="0064412D" w:rsidRDefault="0064412D" w:rsidP="007A2D3E">
            <w:pPr>
              <w:numPr>
                <w:ilvl w:val="0"/>
                <w:numId w:val="48"/>
              </w:numPr>
              <w:jc w:val="left"/>
              <w:rPr>
                <w:rFonts w:cs="Arial"/>
                <w:sz w:val="20"/>
              </w:rPr>
            </w:pPr>
            <w:r w:rsidRPr="0064412D">
              <w:rPr>
                <w:rFonts w:cs="Arial"/>
                <w:sz w:val="20"/>
              </w:rPr>
              <w:t xml:space="preserve">Contractual agreement between CME and VPA Implementer </w:t>
            </w:r>
          </w:p>
          <w:p w14:paraId="4CFD61F3" w14:textId="77777777" w:rsidR="0064412D" w:rsidRPr="0064412D" w:rsidRDefault="0064412D" w:rsidP="007A2D3E">
            <w:pPr>
              <w:numPr>
                <w:ilvl w:val="0"/>
                <w:numId w:val="48"/>
              </w:numPr>
              <w:jc w:val="left"/>
              <w:rPr>
                <w:rFonts w:cs="Arial"/>
                <w:sz w:val="20"/>
              </w:rPr>
            </w:pPr>
            <w:r w:rsidRPr="0064412D">
              <w:rPr>
                <w:rFonts w:cs="Arial"/>
                <w:sz w:val="20"/>
              </w:rPr>
              <w:t>Sales forecast</w:t>
            </w:r>
          </w:p>
          <w:p w14:paraId="2FA385C3" w14:textId="77777777" w:rsidR="0064412D" w:rsidRPr="0064412D" w:rsidRDefault="0064412D" w:rsidP="007A2D3E">
            <w:pPr>
              <w:numPr>
                <w:ilvl w:val="0"/>
                <w:numId w:val="48"/>
              </w:numPr>
              <w:jc w:val="left"/>
              <w:rPr>
                <w:rFonts w:cs="Arial"/>
                <w:sz w:val="20"/>
              </w:rPr>
            </w:pPr>
            <w:r w:rsidRPr="0064412D">
              <w:rPr>
                <w:rFonts w:cs="Arial"/>
                <w:sz w:val="20"/>
              </w:rPr>
              <w:t xml:space="preserve">Calculation showing the capacity of the biogas system(s) </w:t>
            </w:r>
          </w:p>
          <w:p w14:paraId="2F4F658E" w14:textId="77777777" w:rsidR="008E261E" w:rsidRPr="0064412D" w:rsidRDefault="0064412D" w:rsidP="007A2D3E">
            <w:pPr>
              <w:numPr>
                <w:ilvl w:val="0"/>
                <w:numId w:val="48"/>
              </w:numPr>
              <w:jc w:val="left"/>
              <w:rPr>
                <w:sz w:val="20"/>
              </w:rPr>
            </w:pPr>
            <w:r w:rsidRPr="0064412D">
              <w:rPr>
                <w:rFonts w:cs="Arial"/>
                <w:sz w:val="20"/>
              </w:rPr>
              <w:t>Project database</w:t>
            </w:r>
          </w:p>
        </w:tc>
        <w:tc>
          <w:tcPr>
            <w:tcW w:w="2267" w:type="dxa"/>
            <w:tcMar>
              <w:left w:w="57" w:type="dxa"/>
              <w:right w:w="57" w:type="dxa"/>
            </w:tcMar>
          </w:tcPr>
          <w:p w14:paraId="13F7B8A7" w14:textId="77777777" w:rsidR="008E261E" w:rsidRPr="00E14C9D" w:rsidRDefault="008E261E" w:rsidP="00E14C9D">
            <w:pPr>
              <w:jc w:val="left"/>
              <w:rPr>
                <w:rFonts w:cs="Arial"/>
                <w:sz w:val="20"/>
              </w:rPr>
            </w:pPr>
            <w:r w:rsidRPr="00E14C9D">
              <w:rPr>
                <w:rFonts w:cs="Arial"/>
                <w:sz w:val="20"/>
              </w:rPr>
              <w:t>The following documents are provided:</w:t>
            </w:r>
          </w:p>
          <w:p w14:paraId="21739DC3" w14:textId="77777777" w:rsidR="008E261E" w:rsidRPr="00E14C9D" w:rsidRDefault="008E261E" w:rsidP="007A2D3E">
            <w:pPr>
              <w:numPr>
                <w:ilvl w:val="0"/>
                <w:numId w:val="48"/>
              </w:numPr>
              <w:jc w:val="left"/>
              <w:rPr>
                <w:rFonts w:cs="Arial"/>
                <w:sz w:val="20"/>
              </w:rPr>
            </w:pPr>
            <w:r w:rsidRPr="00E14C9D">
              <w:rPr>
                <w:rFonts w:cs="Arial"/>
                <w:sz w:val="20"/>
              </w:rPr>
              <w:t>Capacity calculation of the biogas system(s), showing that the VPA Type I installed capacity is below the 15MW (45MW</w:t>
            </w:r>
            <w:r w:rsidRPr="00E14C9D">
              <w:rPr>
                <w:rFonts w:cs="Arial"/>
                <w:sz w:val="20"/>
                <w:vertAlign w:val="subscript"/>
              </w:rPr>
              <w:t>th</w:t>
            </w:r>
            <w:r w:rsidRPr="00E14C9D">
              <w:rPr>
                <w:rFonts w:cs="Arial"/>
                <w:sz w:val="20"/>
              </w:rPr>
              <w:t>)</w:t>
            </w:r>
            <w:r w:rsidRPr="00E14C9D">
              <w:rPr>
                <w:rStyle w:val="FootnoteReference"/>
                <w:rFonts w:cs="Arial"/>
                <w:sz w:val="20"/>
              </w:rPr>
              <w:footnoteReference w:id="47"/>
            </w:r>
            <w:r w:rsidRPr="00E14C9D">
              <w:rPr>
                <w:rFonts w:cs="Arial"/>
                <w:sz w:val="20"/>
              </w:rPr>
              <w:t xml:space="preserve"> threshold.</w:t>
            </w:r>
          </w:p>
          <w:p w14:paraId="6B77F311" w14:textId="77777777" w:rsidR="008E261E" w:rsidRPr="00E14C9D" w:rsidRDefault="008E261E" w:rsidP="007A2D3E">
            <w:pPr>
              <w:numPr>
                <w:ilvl w:val="0"/>
                <w:numId w:val="48"/>
              </w:numPr>
              <w:jc w:val="left"/>
              <w:rPr>
                <w:rFonts w:cs="Arial"/>
                <w:sz w:val="20"/>
              </w:rPr>
            </w:pPr>
            <w:r w:rsidRPr="00E14C9D">
              <w:rPr>
                <w:rFonts w:cs="Arial"/>
                <w:sz w:val="20"/>
              </w:rPr>
              <w:t>Emission reduction calculation, showing that the VPA Type III emissions are below the 60,000 tCO</w:t>
            </w:r>
            <w:r w:rsidRPr="00E14C9D">
              <w:rPr>
                <w:rFonts w:cs="Arial"/>
                <w:sz w:val="20"/>
                <w:vertAlign w:val="subscript"/>
              </w:rPr>
              <w:t>2</w:t>
            </w:r>
            <w:r w:rsidRPr="00E14C9D">
              <w:rPr>
                <w:rFonts w:cs="Arial"/>
                <w:sz w:val="20"/>
              </w:rPr>
              <w:t>e threshold.</w:t>
            </w:r>
            <w:r w:rsidRPr="00E14C9D">
              <w:rPr>
                <w:rStyle w:val="FootnoteReference"/>
                <w:rFonts w:cs="Arial"/>
                <w:sz w:val="20"/>
              </w:rPr>
              <w:footnoteReference w:id="48"/>
            </w:r>
          </w:p>
        </w:tc>
      </w:tr>
      <w:tr w:rsidR="008E261E" w:rsidRPr="000C7CA3" w14:paraId="6C4DCFB5" w14:textId="77777777" w:rsidTr="00E14C9D">
        <w:trPr>
          <w:cantSplit/>
        </w:trPr>
        <w:tc>
          <w:tcPr>
            <w:tcW w:w="561" w:type="dxa"/>
            <w:shd w:val="clear" w:color="auto" w:fill="auto"/>
            <w:tcMar>
              <w:left w:w="57" w:type="dxa"/>
              <w:right w:w="57" w:type="dxa"/>
            </w:tcMar>
          </w:tcPr>
          <w:p w14:paraId="774F8DC0" w14:textId="77777777" w:rsidR="008E261E" w:rsidRDefault="008E261E" w:rsidP="008E261E">
            <w:pPr>
              <w:jc w:val="left"/>
              <w:rPr>
                <w:sz w:val="20"/>
              </w:rPr>
            </w:pPr>
            <w:r>
              <w:rPr>
                <w:sz w:val="20"/>
              </w:rPr>
              <w:t>12</w:t>
            </w:r>
          </w:p>
        </w:tc>
        <w:tc>
          <w:tcPr>
            <w:tcW w:w="2267" w:type="dxa"/>
            <w:shd w:val="clear" w:color="auto" w:fill="auto"/>
            <w:tcMar>
              <w:left w:w="57" w:type="dxa"/>
              <w:right w:w="57" w:type="dxa"/>
            </w:tcMar>
          </w:tcPr>
          <w:p w14:paraId="41FDE82D" w14:textId="77777777" w:rsidR="008E261E" w:rsidRPr="00E14C9D" w:rsidRDefault="008E261E" w:rsidP="00E14C9D">
            <w:pPr>
              <w:jc w:val="left"/>
              <w:rPr>
                <w:rFonts w:cs="Arial"/>
                <w:sz w:val="20"/>
              </w:rPr>
            </w:pPr>
            <w:r w:rsidRPr="00E14C9D">
              <w:rPr>
                <w:rFonts w:cs="Arial"/>
                <w:sz w:val="20"/>
              </w:rPr>
              <w:t>Where applicable, the requirements for the debundling check, in case VPAs belong to small-scale (SSC) or microscale project categories.</w:t>
            </w:r>
          </w:p>
        </w:tc>
        <w:tc>
          <w:tcPr>
            <w:tcW w:w="2267" w:type="dxa"/>
            <w:shd w:val="clear" w:color="auto" w:fill="auto"/>
            <w:tcMar>
              <w:left w:w="57" w:type="dxa"/>
              <w:right w:w="57" w:type="dxa"/>
            </w:tcMar>
          </w:tcPr>
          <w:p w14:paraId="44C0CFB4" w14:textId="77777777" w:rsidR="008E261E" w:rsidRPr="00E14C9D" w:rsidRDefault="008E261E" w:rsidP="00E14C9D">
            <w:pPr>
              <w:jc w:val="left"/>
              <w:rPr>
                <w:rFonts w:cs="Arial"/>
                <w:sz w:val="20"/>
              </w:rPr>
            </w:pPr>
            <w:r w:rsidRPr="00E14C9D">
              <w:rPr>
                <w:rFonts w:cs="Arial"/>
                <w:sz w:val="20"/>
              </w:rPr>
              <w:t>The VPA implementer will demonstrate that the VPA is not a de-bundled component via the following approach:</w:t>
            </w:r>
          </w:p>
          <w:p w14:paraId="33ECFF90" w14:textId="77777777" w:rsidR="008E261E" w:rsidRPr="00E14C9D" w:rsidRDefault="008E261E" w:rsidP="007A2D3E">
            <w:pPr>
              <w:numPr>
                <w:ilvl w:val="0"/>
                <w:numId w:val="49"/>
              </w:numPr>
              <w:jc w:val="left"/>
              <w:rPr>
                <w:rFonts w:cs="Arial"/>
                <w:sz w:val="20"/>
              </w:rPr>
            </w:pPr>
            <w:r w:rsidRPr="00E14C9D">
              <w:rPr>
                <w:rFonts w:cs="Arial"/>
                <w:sz w:val="20"/>
              </w:rPr>
              <w:t>The biogas systems are less than 1% of the SSC threshold (as per paragraph 10 EB54 Annex 13)</w:t>
            </w:r>
          </w:p>
          <w:p w14:paraId="2615029E" w14:textId="77777777" w:rsidR="008E261E" w:rsidRPr="00E14C9D" w:rsidRDefault="008E261E" w:rsidP="00E14C9D">
            <w:pPr>
              <w:jc w:val="left"/>
              <w:rPr>
                <w:rFonts w:cs="Arial"/>
                <w:sz w:val="20"/>
              </w:rPr>
            </w:pPr>
          </w:p>
        </w:tc>
        <w:tc>
          <w:tcPr>
            <w:tcW w:w="2267" w:type="dxa"/>
            <w:shd w:val="clear" w:color="auto" w:fill="auto"/>
            <w:tcMar>
              <w:left w:w="57" w:type="dxa"/>
              <w:right w:w="57" w:type="dxa"/>
            </w:tcMar>
          </w:tcPr>
          <w:p w14:paraId="0F122FEF" w14:textId="77777777" w:rsidR="0064412D" w:rsidRPr="0064412D" w:rsidRDefault="0064412D" w:rsidP="0064412D">
            <w:pPr>
              <w:jc w:val="left"/>
              <w:rPr>
                <w:rFonts w:cs="Arial"/>
                <w:sz w:val="20"/>
              </w:rPr>
            </w:pPr>
            <w:r w:rsidRPr="0064412D">
              <w:rPr>
                <w:rFonts w:cs="Arial"/>
                <w:sz w:val="20"/>
              </w:rPr>
              <w:t xml:space="preserve">The following evidence shall be provided: </w:t>
            </w:r>
          </w:p>
          <w:p w14:paraId="47C590B5" w14:textId="77777777" w:rsidR="0064412D" w:rsidRPr="0064412D" w:rsidRDefault="0064412D" w:rsidP="007A2D3E">
            <w:pPr>
              <w:numPr>
                <w:ilvl w:val="0"/>
                <w:numId w:val="50"/>
              </w:numPr>
              <w:jc w:val="left"/>
              <w:rPr>
                <w:rFonts w:cs="Arial"/>
                <w:sz w:val="20"/>
              </w:rPr>
            </w:pPr>
            <w:r w:rsidRPr="0064412D">
              <w:rPr>
                <w:rFonts w:cs="Arial"/>
                <w:sz w:val="20"/>
              </w:rPr>
              <w:t xml:space="preserve">Calculation showing the capacity of the biogas system(s) </w:t>
            </w:r>
          </w:p>
          <w:p w14:paraId="014D4208" w14:textId="77777777" w:rsidR="008E261E" w:rsidRPr="0064412D" w:rsidRDefault="0064412D" w:rsidP="007A2D3E">
            <w:pPr>
              <w:numPr>
                <w:ilvl w:val="0"/>
                <w:numId w:val="50"/>
              </w:numPr>
              <w:jc w:val="left"/>
              <w:rPr>
                <w:rFonts w:cs="Arial"/>
                <w:sz w:val="20"/>
              </w:rPr>
            </w:pPr>
            <w:r w:rsidRPr="0064412D">
              <w:rPr>
                <w:rFonts w:cs="Arial"/>
                <w:sz w:val="20"/>
              </w:rPr>
              <w:t>Project Database showing size of systems.</w:t>
            </w:r>
          </w:p>
        </w:tc>
        <w:tc>
          <w:tcPr>
            <w:tcW w:w="2267" w:type="dxa"/>
            <w:tcMar>
              <w:left w:w="57" w:type="dxa"/>
              <w:right w:w="57" w:type="dxa"/>
            </w:tcMar>
          </w:tcPr>
          <w:p w14:paraId="0BEACAF5" w14:textId="77777777" w:rsidR="0064412D" w:rsidRDefault="0064412D" w:rsidP="0064412D">
            <w:pPr>
              <w:jc w:val="left"/>
              <w:rPr>
                <w:rFonts w:cs="Arial"/>
                <w:sz w:val="20"/>
              </w:rPr>
            </w:pPr>
            <w:r>
              <w:rPr>
                <w:rFonts w:cs="Arial"/>
                <w:sz w:val="20"/>
              </w:rPr>
              <w:t xml:space="preserve">The following evidence is provided: </w:t>
            </w:r>
          </w:p>
          <w:p w14:paraId="4978C643" w14:textId="77777777" w:rsidR="008E261E" w:rsidRPr="00E14C9D" w:rsidRDefault="008E261E" w:rsidP="007A2D3E">
            <w:pPr>
              <w:numPr>
                <w:ilvl w:val="0"/>
                <w:numId w:val="56"/>
              </w:numPr>
              <w:jc w:val="left"/>
              <w:rPr>
                <w:rFonts w:cs="Arial"/>
                <w:sz w:val="20"/>
              </w:rPr>
            </w:pPr>
            <w:r w:rsidRPr="00E14C9D">
              <w:rPr>
                <w:rFonts w:cs="Arial"/>
                <w:sz w:val="20"/>
              </w:rPr>
              <w:t>Calculation showing the capacity of the biogas system(s)</w:t>
            </w:r>
          </w:p>
          <w:p w14:paraId="395AD297" w14:textId="77777777" w:rsidR="008E261E" w:rsidRPr="00E14C9D" w:rsidRDefault="008E261E" w:rsidP="00E14C9D">
            <w:pPr>
              <w:jc w:val="left"/>
              <w:rPr>
                <w:rFonts w:cs="Arial"/>
                <w:sz w:val="20"/>
              </w:rPr>
            </w:pPr>
          </w:p>
        </w:tc>
      </w:tr>
      <w:tr w:rsidR="008E261E" w:rsidRPr="000C7CA3" w14:paraId="0864FC1A" w14:textId="77777777" w:rsidTr="00E14C9D">
        <w:trPr>
          <w:cantSplit/>
        </w:trPr>
        <w:tc>
          <w:tcPr>
            <w:tcW w:w="561" w:type="dxa"/>
            <w:shd w:val="clear" w:color="auto" w:fill="auto"/>
            <w:tcMar>
              <w:left w:w="57" w:type="dxa"/>
              <w:right w:w="57" w:type="dxa"/>
            </w:tcMar>
          </w:tcPr>
          <w:p w14:paraId="00263F54" w14:textId="77777777" w:rsidR="008E261E" w:rsidRDefault="008E261E" w:rsidP="008E261E">
            <w:pPr>
              <w:jc w:val="left"/>
              <w:rPr>
                <w:sz w:val="20"/>
              </w:rPr>
            </w:pPr>
            <w:r>
              <w:rPr>
                <w:sz w:val="20"/>
              </w:rPr>
              <w:t>13</w:t>
            </w:r>
          </w:p>
        </w:tc>
        <w:tc>
          <w:tcPr>
            <w:tcW w:w="2267" w:type="dxa"/>
            <w:shd w:val="clear" w:color="auto" w:fill="auto"/>
            <w:tcMar>
              <w:left w:w="57" w:type="dxa"/>
              <w:right w:w="57" w:type="dxa"/>
            </w:tcMar>
          </w:tcPr>
          <w:p w14:paraId="565834A2" w14:textId="77777777" w:rsidR="008E261E" w:rsidRPr="00E14C9D" w:rsidRDefault="008E261E" w:rsidP="00E14C9D">
            <w:pPr>
              <w:jc w:val="left"/>
              <w:rPr>
                <w:rFonts w:cs="Arial"/>
                <w:sz w:val="20"/>
              </w:rPr>
            </w:pPr>
            <w:r w:rsidRPr="00E14C9D">
              <w:rPr>
                <w:rFonts w:cs="Arial"/>
                <w:sz w:val="20"/>
              </w:rPr>
              <w:t>The proposed VPA must ensure that sufficient training has been carried out to ensure the construction / installation of the biogas system is done by competent persons</w:t>
            </w:r>
          </w:p>
        </w:tc>
        <w:tc>
          <w:tcPr>
            <w:tcW w:w="2267" w:type="dxa"/>
            <w:shd w:val="clear" w:color="auto" w:fill="auto"/>
            <w:tcMar>
              <w:left w:w="57" w:type="dxa"/>
              <w:right w:w="57" w:type="dxa"/>
            </w:tcMar>
          </w:tcPr>
          <w:p w14:paraId="10E810C2" w14:textId="77777777" w:rsidR="008E261E" w:rsidRPr="00E14C9D" w:rsidRDefault="008E261E" w:rsidP="00E14C9D">
            <w:pPr>
              <w:jc w:val="left"/>
              <w:rPr>
                <w:rFonts w:cs="Arial"/>
                <w:sz w:val="20"/>
              </w:rPr>
            </w:pPr>
            <w:r w:rsidRPr="00E14C9D">
              <w:rPr>
                <w:rFonts w:cs="Arial"/>
                <w:sz w:val="20"/>
              </w:rPr>
              <w:t>The VPA implementer will provide sufficient evidence of training or qualification to implement the proposed VPA.</w:t>
            </w:r>
          </w:p>
        </w:tc>
        <w:tc>
          <w:tcPr>
            <w:tcW w:w="2267" w:type="dxa"/>
            <w:shd w:val="clear" w:color="auto" w:fill="auto"/>
            <w:tcMar>
              <w:left w:w="57" w:type="dxa"/>
              <w:right w:w="57" w:type="dxa"/>
            </w:tcMar>
          </w:tcPr>
          <w:p w14:paraId="31D7A58A" w14:textId="77777777" w:rsidR="008E261E" w:rsidRPr="00F47639" w:rsidRDefault="0064412D" w:rsidP="00E14C9D">
            <w:pPr>
              <w:jc w:val="left"/>
              <w:rPr>
                <w:sz w:val="20"/>
              </w:rPr>
            </w:pPr>
            <w:r w:rsidRPr="00F47639">
              <w:rPr>
                <w:sz w:val="20"/>
              </w:rPr>
              <w:t>Any of the following documents shall be provided:</w:t>
            </w:r>
          </w:p>
          <w:p w14:paraId="38F6686A" w14:textId="77777777" w:rsidR="0064412D" w:rsidRPr="00F47639" w:rsidRDefault="0064412D" w:rsidP="007A2D3E">
            <w:pPr>
              <w:numPr>
                <w:ilvl w:val="0"/>
                <w:numId w:val="51"/>
              </w:numPr>
              <w:jc w:val="left"/>
              <w:rPr>
                <w:rFonts w:cs="Arial"/>
                <w:sz w:val="20"/>
              </w:rPr>
            </w:pPr>
            <w:r w:rsidRPr="00F47639">
              <w:rPr>
                <w:rFonts w:cs="Arial"/>
                <w:sz w:val="20"/>
              </w:rPr>
              <w:t>Training certificates</w:t>
            </w:r>
          </w:p>
          <w:p w14:paraId="601076B5" w14:textId="77777777" w:rsidR="0064412D" w:rsidRPr="00F47639" w:rsidRDefault="0064412D" w:rsidP="007A2D3E">
            <w:pPr>
              <w:numPr>
                <w:ilvl w:val="0"/>
                <w:numId w:val="51"/>
              </w:numPr>
              <w:jc w:val="left"/>
              <w:rPr>
                <w:rFonts w:cs="Arial"/>
                <w:sz w:val="20"/>
              </w:rPr>
            </w:pPr>
            <w:r w:rsidRPr="00F47639">
              <w:rPr>
                <w:rFonts w:cs="Arial"/>
                <w:sz w:val="20"/>
              </w:rPr>
              <w:t>Training records</w:t>
            </w:r>
          </w:p>
          <w:p w14:paraId="72A6F38A" w14:textId="77777777" w:rsidR="0064412D" w:rsidRPr="00F47639" w:rsidRDefault="0064412D" w:rsidP="007A2D3E">
            <w:pPr>
              <w:numPr>
                <w:ilvl w:val="0"/>
                <w:numId w:val="51"/>
              </w:numPr>
              <w:jc w:val="left"/>
              <w:rPr>
                <w:rFonts w:cs="Arial"/>
                <w:sz w:val="20"/>
              </w:rPr>
            </w:pPr>
            <w:r w:rsidRPr="00F47639">
              <w:rPr>
                <w:rFonts w:cs="Arial"/>
                <w:sz w:val="20"/>
              </w:rPr>
              <w:t>Qualification certificates</w:t>
            </w:r>
          </w:p>
          <w:p w14:paraId="09D9E3A8" w14:textId="77777777" w:rsidR="0064412D" w:rsidRPr="00F47639" w:rsidRDefault="0064412D" w:rsidP="007A2D3E">
            <w:pPr>
              <w:numPr>
                <w:ilvl w:val="0"/>
                <w:numId w:val="51"/>
              </w:numPr>
              <w:jc w:val="left"/>
              <w:rPr>
                <w:rFonts w:cs="Arial"/>
                <w:sz w:val="20"/>
              </w:rPr>
            </w:pPr>
            <w:r w:rsidRPr="00F47639">
              <w:rPr>
                <w:rFonts w:cs="Arial"/>
                <w:sz w:val="20"/>
              </w:rPr>
              <w:t>Planned training schedules</w:t>
            </w:r>
          </w:p>
        </w:tc>
        <w:tc>
          <w:tcPr>
            <w:tcW w:w="2267" w:type="dxa"/>
            <w:tcMar>
              <w:left w:w="57" w:type="dxa"/>
              <w:right w:w="57" w:type="dxa"/>
            </w:tcMar>
          </w:tcPr>
          <w:p w14:paraId="06FF5483" w14:textId="77777777" w:rsidR="008E261E" w:rsidRPr="00F47639" w:rsidRDefault="008E261E" w:rsidP="00E14C9D">
            <w:pPr>
              <w:jc w:val="left"/>
              <w:rPr>
                <w:rFonts w:cs="Arial"/>
                <w:sz w:val="20"/>
              </w:rPr>
            </w:pPr>
            <w:r w:rsidRPr="00F47639">
              <w:rPr>
                <w:rFonts w:cs="Arial"/>
                <w:sz w:val="20"/>
              </w:rPr>
              <w:t>The following documents are provided:</w:t>
            </w:r>
          </w:p>
          <w:p w14:paraId="0C59ED13" w14:textId="77777777" w:rsidR="008E261E" w:rsidRPr="00F47639" w:rsidRDefault="008E261E" w:rsidP="007A2D3E">
            <w:pPr>
              <w:numPr>
                <w:ilvl w:val="0"/>
                <w:numId w:val="51"/>
              </w:numPr>
              <w:jc w:val="left"/>
              <w:rPr>
                <w:rFonts w:cs="Arial"/>
                <w:sz w:val="20"/>
              </w:rPr>
            </w:pPr>
            <w:r w:rsidRPr="00F47639">
              <w:rPr>
                <w:rFonts w:cs="Arial"/>
                <w:sz w:val="20"/>
              </w:rPr>
              <w:t>Training certificates</w:t>
            </w:r>
          </w:p>
          <w:p w14:paraId="70E8B051" w14:textId="77777777" w:rsidR="008E261E" w:rsidRPr="00F47639" w:rsidRDefault="008E261E" w:rsidP="007A2D3E">
            <w:pPr>
              <w:numPr>
                <w:ilvl w:val="0"/>
                <w:numId w:val="51"/>
              </w:numPr>
              <w:jc w:val="left"/>
              <w:rPr>
                <w:rFonts w:cs="Arial"/>
                <w:sz w:val="20"/>
              </w:rPr>
            </w:pPr>
            <w:r w:rsidRPr="00F47639">
              <w:rPr>
                <w:rFonts w:cs="Arial"/>
                <w:sz w:val="20"/>
              </w:rPr>
              <w:t>Training records</w:t>
            </w:r>
          </w:p>
          <w:p w14:paraId="29C0F908" w14:textId="77777777" w:rsidR="008E261E" w:rsidRPr="00F47639" w:rsidRDefault="008E261E" w:rsidP="007A2D3E">
            <w:pPr>
              <w:numPr>
                <w:ilvl w:val="0"/>
                <w:numId w:val="51"/>
              </w:numPr>
              <w:jc w:val="left"/>
              <w:rPr>
                <w:rFonts w:cs="Arial"/>
                <w:sz w:val="20"/>
              </w:rPr>
            </w:pPr>
            <w:r w:rsidRPr="00F47639">
              <w:rPr>
                <w:rFonts w:cs="Arial"/>
                <w:sz w:val="20"/>
              </w:rPr>
              <w:t>Qualification certificates</w:t>
            </w:r>
          </w:p>
          <w:p w14:paraId="6B1E6712" w14:textId="77777777" w:rsidR="008E261E" w:rsidRPr="00F47639" w:rsidRDefault="008E261E" w:rsidP="007A2D3E">
            <w:pPr>
              <w:numPr>
                <w:ilvl w:val="0"/>
                <w:numId w:val="51"/>
              </w:numPr>
              <w:jc w:val="left"/>
              <w:rPr>
                <w:rFonts w:cs="Arial"/>
                <w:sz w:val="20"/>
              </w:rPr>
            </w:pPr>
            <w:r w:rsidRPr="00F47639">
              <w:rPr>
                <w:rFonts w:cs="Arial"/>
                <w:sz w:val="20"/>
              </w:rPr>
              <w:t>Planned training schedules</w:t>
            </w:r>
          </w:p>
        </w:tc>
      </w:tr>
      <w:tr w:rsidR="008E261E" w:rsidRPr="000C7CA3" w14:paraId="56260E98" w14:textId="77777777" w:rsidTr="00E14C9D">
        <w:trPr>
          <w:cantSplit/>
        </w:trPr>
        <w:tc>
          <w:tcPr>
            <w:tcW w:w="561" w:type="dxa"/>
            <w:shd w:val="clear" w:color="auto" w:fill="auto"/>
            <w:tcMar>
              <w:left w:w="57" w:type="dxa"/>
              <w:right w:w="57" w:type="dxa"/>
            </w:tcMar>
          </w:tcPr>
          <w:p w14:paraId="25282DEA" w14:textId="77777777" w:rsidR="008E261E" w:rsidRDefault="00E14C9D" w:rsidP="008E261E">
            <w:pPr>
              <w:jc w:val="left"/>
              <w:rPr>
                <w:sz w:val="20"/>
              </w:rPr>
            </w:pPr>
            <w:r>
              <w:rPr>
                <w:sz w:val="20"/>
              </w:rPr>
              <w:lastRenderedPageBreak/>
              <w:t>14</w:t>
            </w:r>
          </w:p>
        </w:tc>
        <w:tc>
          <w:tcPr>
            <w:tcW w:w="2267" w:type="dxa"/>
            <w:shd w:val="clear" w:color="auto" w:fill="auto"/>
            <w:tcMar>
              <w:left w:w="57" w:type="dxa"/>
              <w:right w:w="57" w:type="dxa"/>
            </w:tcMar>
          </w:tcPr>
          <w:p w14:paraId="117633E4" w14:textId="77777777" w:rsidR="008E261E" w:rsidRPr="00E14C9D" w:rsidRDefault="00E14C9D" w:rsidP="008E261E">
            <w:pPr>
              <w:jc w:val="left"/>
              <w:rPr>
                <w:rFonts w:cs="Arial"/>
                <w:sz w:val="20"/>
              </w:rPr>
            </w:pPr>
            <w:r w:rsidRPr="00E14C9D">
              <w:rPr>
                <w:rFonts w:cs="Arial"/>
                <w:sz w:val="20"/>
              </w:rPr>
              <w:t>Transfer of rights to carbon credits.</w:t>
            </w:r>
          </w:p>
        </w:tc>
        <w:tc>
          <w:tcPr>
            <w:tcW w:w="2267" w:type="dxa"/>
            <w:shd w:val="clear" w:color="auto" w:fill="auto"/>
            <w:tcMar>
              <w:left w:w="57" w:type="dxa"/>
              <w:right w:w="57" w:type="dxa"/>
            </w:tcMar>
          </w:tcPr>
          <w:p w14:paraId="7EB1690C" w14:textId="77777777" w:rsidR="00E14C9D" w:rsidRPr="00E14C9D" w:rsidRDefault="00E14C9D" w:rsidP="00E14C9D">
            <w:pPr>
              <w:rPr>
                <w:rFonts w:cs="Arial"/>
                <w:sz w:val="20"/>
              </w:rPr>
            </w:pPr>
            <w:r w:rsidRPr="00E14C9D">
              <w:rPr>
                <w:rFonts w:cs="Arial"/>
                <w:sz w:val="20"/>
              </w:rPr>
              <w:t xml:space="preserve">The end user of each biogas digester </w:t>
            </w:r>
            <w:r w:rsidR="004745B6">
              <w:rPr>
                <w:rFonts w:cs="Arial"/>
                <w:sz w:val="20"/>
                <w:lang w:val="en-US"/>
              </w:rPr>
              <w:t>has been properly</w:t>
            </w:r>
            <w:r w:rsidRPr="00E14C9D">
              <w:rPr>
                <w:rFonts w:cs="Arial"/>
                <w:sz w:val="20"/>
                <w:lang w:val="en-US"/>
              </w:rPr>
              <w:t xml:space="preserve"> informed during the stake holders consultation on the transfer of credit ownership </w:t>
            </w:r>
            <w:r w:rsidRPr="00E14C9D">
              <w:rPr>
                <w:rFonts w:cs="Arial"/>
                <w:sz w:val="20"/>
              </w:rPr>
              <w:t>and agreed to transfer all rights to any carbon credits to the VPA Implementer.</w:t>
            </w:r>
          </w:p>
          <w:p w14:paraId="7717EC8A" w14:textId="77777777" w:rsidR="008E261E" w:rsidRPr="00E14C9D" w:rsidRDefault="008E261E" w:rsidP="008E261E">
            <w:pPr>
              <w:rPr>
                <w:rFonts w:cs="Arial"/>
                <w:sz w:val="20"/>
              </w:rPr>
            </w:pPr>
          </w:p>
        </w:tc>
        <w:tc>
          <w:tcPr>
            <w:tcW w:w="2267" w:type="dxa"/>
            <w:shd w:val="clear" w:color="auto" w:fill="auto"/>
            <w:tcMar>
              <w:left w:w="57" w:type="dxa"/>
              <w:right w:w="57" w:type="dxa"/>
            </w:tcMar>
          </w:tcPr>
          <w:p w14:paraId="6BDA5BA6" w14:textId="77777777" w:rsidR="0064412D" w:rsidRPr="00F47639" w:rsidRDefault="0064412D" w:rsidP="0064412D">
            <w:pPr>
              <w:jc w:val="left"/>
              <w:rPr>
                <w:sz w:val="20"/>
              </w:rPr>
            </w:pPr>
            <w:r w:rsidRPr="00F47639">
              <w:rPr>
                <w:sz w:val="20"/>
              </w:rPr>
              <w:t xml:space="preserve">The following documents are provided: </w:t>
            </w:r>
          </w:p>
          <w:p w14:paraId="32FAD057" w14:textId="77777777" w:rsidR="0064412D" w:rsidRPr="00F47639" w:rsidRDefault="0064412D" w:rsidP="007A2D3E">
            <w:pPr>
              <w:numPr>
                <w:ilvl w:val="0"/>
                <w:numId w:val="52"/>
              </w:numPr>
              <w:jc w:val="left"/>
              <w:rPr>
                <w:rFonts w:cs="Arial"/>
                <w:sz w:val="20"/>
              </w:rPr>
            </w:pPr>
            <w:r w:rsidRPr="00F47639">
              <w:rPr>
                <w:rFonts w:cs="Arial"/>
                <w:sz w:val="20"/>
              </w:rPr>
              <w:t xml:space="preserve">Sales Agreement </w:t>
            </w:r>
          </w:p>
          <w:p w14:paraId="5B1755C6" w14:textId="77777777" w:rsidR="008E261E" w:rsidRPr="00F47639" w:rsidRDefault="0064412D">
            <w:pPr>
              <w:numPr>
                <w:ilvl w:val="0"/>
                <w:numId w:val="52"/>
              </w:numPr>
              <w:jc w:val="left"/>
              <w:rPr>
                <w:sz w:val="20"/>
              </w:rPr>
            </w:pPr>
            <w:r w:rsidRPr="00F47639">
              <w:rPr>
                <w:rFonts w:cs="Arial"/>
                <w:sz w:val="20"/>
              </w:rPr>
              <w:t xml:space="preserve">Contractual agreement between CME and the VPA Implementer </w:t>
            </w:r>
          </w:p>
        </w:tc>
        <w:tc>
          <w:tcPr>
            <w:tcW w:w="2267" w:type="dxa"/>
            <w:tcMar>
              <w:left w:w="57" w:type="dxa"/>
              <w:right w:w="57" w:type="dxa"/>
            </w:tcMar>
          </w:tcPr>
          <w:p w14:paraId="2942614D" w14:textId="77777777" w:rsidR="00E14C9D" w:rsidRPr="00F47639" w:rsidRDefault="00E14C9D" w:rsidP="0064412D">
            <w:pPr>
              <w:jc w:val="left"/>
              <w:rPr>
                <w:rFonts w:cs="Arial"/>
                <w:sz w:val="20"/>
              </w:rPr>
            </w:pPr>
            <w:r w:rsidRPr="00F47639">
              <w:rPr>
                <w:rFonts w:cs="Arial"/>
                <w:sz w:val="20"/>
              </w:rPr>
              <w:t>The following documents are provided:</w:t>
            </w:r>
          </w:p>
          <w:p w14:paraId="729B8EAD" w14:textId="77777777" w:rsidR="00E14C9D" w:rsidRPr="00F47639" w:rsidRDefault="00E14C9D" w:rsidP="007A2D3E">
            <w:pPr>
              <w:numPr>
                <w:ilvl w:val="0"/>
                <w:numId w:val="52"/>
              </w:numPr>
              <w:rPr>
                <w:rFonts w:cs="Arial"/>
                <w:sz w:val="20"/>
              </w:rPr>
            </w:pPr>
            <w:r w:rsidRPr="00F47639">
              <w:rPr>
                <w:rFonts w:cs="Arial"/>
                <w:sz w:val="20"/>
              </w:rPr>
              <w:t>Sales Agreement</w:t>
            </w:r>
          </w:p>
          <w:p w14:paraId="54BD7C88" w14:textId="77777777" w:rsidR="00602C06" w:rsidRPr="00F47639" w:rsidRDefault="00E14C9D" w:rsidP="005B102C">
            <w:pPr>
              <w:numPr>
                <w:ilvl w:val="0"/>
                <w:numId w:val="52"/>
              </w:numPr>
              <w:jc w:val="left"/>
              <w:rPr>
                <w:rFonts w:cs="Arial"/>
                <w:sz w:val="20"/>
              </w:rPr>
            </w:pPr>
            <w:r w:rsidRPr="00F47639">
              <w:rPr>
                <w:rFonts w:cs="Arial"/>
                <w:sz w:val="20"/>
              </w:rPr>
              <w:t xml:space="preserve">Contractual agreement between CME and </w:t>
            </w:r>
            <w:r w:rsidR="005B102C" w:rsidRPr="00F47639">
              <w:rPr>
                <w:rFonts w:cs="Arial"/>
                <w:sz w:val="20"/>
              </w:rPr>
              <w:t>VPA implementer</w:t>
            </w:r>
          </w:p>
          <w:p w14:paraId="045F46A6" w14:textId="77777777" w:rsidR="008E261E" w:rsidRPr="00F47639" w:rsidRDefault="008E261E" w:rsidP="004745B6">
            <w:pPr>
              <w:ind w:left="360"/>
              <w:rPr>
                <w:rFonts w:cs="Arial"/>
                <w:sz w:val="20"/>
              </w:rPr>
            </w:pPr>
          </w:p>
        </w:tc>
      </w:tr>
      <w:tr w:rsidR="00E14C9D" w:rsidRPr="000C7CA3" w14:paraId="41EC4112" w14:textId="77777777" w:rsidTr="00E14C9D">
        <w:trPr>
          <w:cantSplit/>
        </w:trPr>
        <w:tc>
          <w:tcPr>
            <w:tcW w:w="561" w:type="dxa"/>
            <w:tcBorders>
              <w:bottom w:val="single" w:sz="4" w:space="0" w:color="auto"/>
            </w:tcBorders>
            <w:shd w:val="clear" w:color="auto" w:fill="auto"/>
            <w:tcMar>
              <w:left w:w="57" w:type="dxa"/>
              <w:right w:w="57" w:type="dxa"/>
            </w:tcMar>
          </w:tcPr>
          <w:p w14:paraId="0D0AB138" w14:textId="77777777" w:rsidR="00E14C9D" w:rsidRDefault="00E14C9D" w:rsidP="00E14C9D">
            <w:pPr>
              <w:jc w:val="left"/>
              <w:rPr>
                <w:sz w:val="20"/>
              </w:rPr>
            </w:pPr>
            <w:r>
              <w:rPr>
                <w:sz w:val="20"/>
              </w:rPr>
              <w:t>15</w:t>
            </w:r>
          </w:p>
        </w:tc>
        <w:tc>
          <w:tcPr>
            <w:tcW w:w="2267" w:type="dxa"/>
            <w:shd w:val="clear" w:color="auto" w:fill="auto"/>
            <w:tcMar>
              <w:left w:w="57" w:type="dxa"/>
              <w:right w:w="57" w:type="dxa"/>
            </w:tcMar>
          </w:tcPr>
          <w:p w14:paraId="6E3D5635" w14:textId="77777777" w:rsidR="00E14C9D" w:rsidRPr="00E14C9D" w:rsidRDefault="00E14C9D" w:rsidP="00E14C9D">
            <w:pPr>
              <w:rPr>
                <w:rFonts w:cs="Arial"/>
                <w:sz w:val="20"/>
              </w:rPr>
            </w:pPr>
            <w:r w:rsidRPr="00E14C9D">
              <w:rPr>
                <w:rFonts w:cs="Arial"/>
                <w:sz w:val="20"/>
              </w:rPr>
              <w:t>Prior consideration of carbon revenues</w:t>
            </w:r>
          </w:p>
        </w:tc>
        <w:tc>
          <w:tcPr>
            <w:tcW w:w="2267" w:type="dxa"/>
            <w:shd w:val="clear" w:color="auto" w:fill="auto"/>
            <w:tcMar>
              <w:left w:w="57" w:type="dxa"/>
              <w:right w:w="57" w:type="dxa"/>
            </w:tcMar>
          </w:tcPr>
          <w:p w14:paraId="4221172E" w14:textId="77777777" w:rsidR="00E14C9D" w:rsidRPr="00E14C9D" w:rsidRDefault="00E14C9D" w:rsidP="00E14C9D">
            <w:pPr>
              <w:rPr>
                <w:rFonts w:cs="Arial"/>
                <w:sz w:val="20"/>
              </w:rPr>
            </w:pPr>
            <w:r w:rsidRPr="00E14C9D">
              <w:rPr>
                <w:rFonts w:cs="Arial"/>
                <w:sz w:val="20"/>
              </w:rPr>
              <w:t xml:space="preserve">For retroactive VPAs, prior consideration of carbon revenues shall be checked at the time of inclusion by checking that carbon revenues are considered in early project documentation before the date of VPA inclusion (e.g. in a feasibility report, a programme implementation document or similar documentation).  </w:t>
            </w:r>
          </w:p>
        </w:tc>
        <w:tc>
          <w:tcPr>
            <w:tcW w:w="2267" w:type="dxa"/>
            <w:shd w:val="clear" w:color="auto" w:fill="auto"/>
            <w:tcMar>
              <w:left w:w="57" w:type="dxa"/>
              <w:right w:w="57" w:type="dxa"/>
            </w:tcMar>
          </w:tcPr>
          <w:p w14:paraId="0A831728" w14:textId="77777777" w:rsidR="0064412D" w:rsidRPr="00F03528" w:rsidRDefault="0064412D" w:rsidP="0064412D">
            <w:pPr>
              <w:jc w:val="left"/>
              <w:rPr>
                <w:sz w:val="20"/>
              </w:rPr>
            </w:pPr>
            <w:r w:rsidRPr="00F03528">
              <w:rPr>
                <w:sz w:val="20"/>
              </w:rPr>
              <w:t xml:space="preserve">The following documents are provided: </w:t>
            </w:r>
          </w:p>
          <w:p w14:paraId="621C0C08" w14:textId="77777777" w:rsidR="0064412D" w:rsidRPr="00F03528" w:rsidRDefault="0064412D" w:rsidP="007A2D3E">
            <w:pPr>
              <w:numPr>
                <w:ilvl w:val="0"/>
                <w:numId w:val="52"/>
              </w:numPr>
              <w:jc w:val="left"/>
              <w:rPr>
                <w:rFonts w:cs="Arial"/>
                <w:sz w:val="20"/>
              </w:rPr>
            </w:pPr>
            <w:r w:rsidRPr="00F03528">
              <w:rPr>
                <w:rFonts w:cs="Arial"/>
                <w:sz w:val="20"/>
              </w:rPr>
              <w:t xml:space="preserve">Feasibility study </w:t>
            </w:r>
          </w:p>
          <w:p w14:paraId="69067914" w14:textId="77777777" w:rsidR="0064412D" w:rsidRPr="00F03528" w:rsidRDefault="0064412D" w:rsidP="007A2D3E">
            <w:pPr>
              <w:numPr>
                <w:ilvl w:val="0"/>
                <w:numId w:val="52"/>
              </w:numPr>
              <w:jc w:val="left"/>
              <w:rPr>
                <w:rFonts w:cs="Arial"/>
                <w:sz w:val="20"/>
              </w:rPr>
            </w:pPr>
            <w:r w:rsidRPr="00F03528">
              <w:rPr>
                <w:rFonts w:cs="Arial"/>
                <w:sz w:val="20"/>
              </w:rPr>
              <w:t xml:space="preserve">Business plan </w:t>
            </w:r>
          </w:p>
          <w:p w14:paraId="385FDCDE" w14:textId="77777777" w:rsidR="0064412D" w:rsidRPr="00F03528" w:rsidRDefault="0064412D" w:rsidP="007A2D3E">
            <w:pPr>
              <w:numPr>
                <w:ilvl w:val="0"/>
                <w:numId w:val="52"/>
              </w:numPr>
              <w:jc w:val="left"/>
              <w:rPr>
                <w:rFonts w:cs="Arial"/>
                <w:sz w:val="20"/>
              </w:rPr>
            </w:pPr>
            <w:r w:rsidRPr="00F03528">
              <w:rPr>
                <w:rFonts w:cs="Arial"/>
                <w:sz w:val="20"/>
              </w:rPr>
              <w:t xml:space="preserve">Implementation document </w:t>
            </w:r>
          </w:p>
          <w:p w14:paraId="50A8FA01" w14:textId="77777777" w:rsidR="00E14C9D" w:rsidRPr="00F03528" w:rsidRDefault="0064412D" w:rsidP="007A2D3E">
            <w:pPr>
              <w:numPr>
                <w:ilvl w:val="0"/>
                <w:numId w:val="52"/>
              </w:numPr>
              <w:jc w:val="left"/>
              <w:rPr>
                <w:sz w:val="20"/>
              </w:rPr>
            </w:pPr>
            <w:r w:rsidRPr="00F03528">
              <w:rPr>
                <w:rFonts w:cs="Arial"/>
                <w:sz w:val="20"/>
              </w:rPr>
              <w:t>Any other such documents demonstrating compliance</w:t>
            </w:r>
          </w:p>
        </w:tc>
        <w:tc>
          <w:tcPr>
            <w:tcW w:w="2267" w:type="dxa"/>
            <w:tcMar>
              <w:left w:w="57" w:type="dxa"/>
              <w:right w:w="57" w:type="dxa"/>
            </w:tcMar>
          </w:tcPr>
          <w:p w14:paraId="7D8BCB88" w14:textId="77777777" w:rsidR="00E14C9D" w:rsidRPr="00F03528" w:rsidRDefault="00E14C9D" w:rsidP="001B48DE">
            <w:pPr>
              <w:jc w:val="left"/>
              <w:rPr>
                <w:rFonts w:cs="Arial"/>
                <w:sz w:val="20"/>
              </w:rPr>
            </w:pPr>
            <w:r w:rsidRPr="00F03528">
              <w:rPr>
                <w:rFonts w:cs="Arial"/>
                <w:sz w:val="20"/>
              </w:rPr>
              <w:t>The following documents are provided:</w:t>
            </w:r>
          </w:p>
          <w:p w14:paraId="770C1212" w14:textId="77777777" w:rsidR="00E14C9D" w:rsidRPr="00F03528" w:rsidRDefault="00F47639" w:rsidP="001B48DE">
            <w:pPr>
              <w:numPr>
                <w:ilvl w:val="0"/>
                <w:numId w:val="53"/>
              </w:numPr>
              <w:jc w:val="left"/>
              <w:rPr>
                <w:rFonts w:cs="Arial"/>
                <w:sz w:val="20"/>
              </w:rPr>
            </w:pPr>
            <w:r>
              <w:rPr>
                <w:rFonts w:cs="Arial"/>
                <w:sz w:val="20"/>
              </w:rPr>
              <w:t>KBP</w:t>
            </w:r>
            <w:r w:rsidR="00E14C9D" w:rsidRPr="00F03528">
              <w:rPr>
                <w:rFonts w:cs="Arial"/>
                <w:sz w:val="20"/>
              </w:rPr>
              <w:t xml:space="preserve"> Programme Implementation Document</w:t>
            </w:r>
          </w:p>
          <w:p w14:paraId="251E2B83" w14:textId="77777777" w:rsidR="00E14C9D" w:rsidRPr="004745B6" w:rsidRDefault="00602C06" w:rsidP="001B48DE">
            <w:pPr>
              <w:numPr>
                <w:ilvl w:val="0"/>
                <w:numId w:val="53"/>
              </w:numPr>
              <w:jc w:val="left"/>
              <w:rPr>
                <w:rFonts w:cs="Arial"/>
                <w:sz w:val="20"/>
              </w:rPr>
            </w:pPr>
            <w:r w:rsidRPr="004745B6">
              <w:rPr>
                <w:rFonts w:cs="Arial"/>
                <w:sz w:val="20"/>
              </w:rPr>
              <w:t xml:space="preserve">Memo demonstrating the prior consideration of carbon revenues </w:t>
            </w:r>
          </w:p>
          <w:p w14:paraId="1177F485" w14:textId="77777777" w:rsidR="00E14C9D" w:rsidRPr="00F03528" w:rsidRDefault="00E14C9D" w:rsidP="001B48DE">
            <w:pPr>
              <w:jc w:val="left"/>
              <w:rPr>
                <w:rFonts w:cs="Arial"/>
                <w:sz w:val="20"/>
              </w:rPr>
            </w:pPr>
          </w:p>
        </w:tc>
      </w:tr>
    </w:tbl>
    <w:p w14:paraId="1F893691" w14:textId="77777777" w:rsidR="00D42DC8" w:rsidRDefault="00D42DC8" w:rsidP="00336916">
      <w:pPr>
        <w:rPr>
          <w:rFonts w:cs="Arial"/>
          <w:lang w:eastAsia="en-US"/>
        </w:rPr>
        <w:sectPr w:rsidR="00D42DC8" w:rsidSect="00822BB8">
          <w:headerReference w:type="default" r:id="rId19"/>
          <w:footerReference w:type="default" r:id="rId20"/>
          <w:headerReference w:type="first" r:id="rId21"/>
          <w:pgSz w:w="11907" w:h="16840" w:code="9"/>
          <w:pgMar w:top="1134" w:right="1134" w:bottom="1134" w:left="1134" w:header="851" w:footer="850" w:gutter="0"/>
          <w:cols w:space="720"/>
          <w:docGrid w:linePitch="299"/>
        </w:sectPr>
      </w:pPr>
    </w:p>
    <w:p w14:paraId="6DFF2925" w14:textId="77777777" w:rsidR="00585AD7" w:rsidRPr="0089085E" w:rsidRDefault="00FF68B3" w:rsidP="00832827">
      <w:pPr>
        <w:pStyle w:val="SDMAppTitle"/>
        <w:spacing w:after="360"/>
        <w:rPr>
          <w:sz w:val="28"/>
          <w:szCs w:val="28"/>
        </w:rPr>
      </w:pPr>
      <w:bookmarkStart w:id="25" w:name="_Ref316928127"/>
      <w:bookmarkEnd w:id="22"/>
      <w:bookmarkEnd w:id="23"/>
      <w:r w:rsidRPr="0089085E">
        <w:rPr>
          <w:sz w:val="28"/>
          <w:szCs w:val="28"/>
        </w:rPr>
        <w:lastRenderedPageBreak/>
        <w:t xml:space="preserve">Contact </w:t>
      </w:r>
      <w:r w:rsidR="00D42DC8">
        <w:rPr>
          <w:sz w:val="28"/>
          <w:szCs w:val="28"/>
        </w:rPr>
        <w:t xml:space="preserve">information of </w:t>
      </w:r>
      <w:r w:rsidR="006C4F9A">
        <w:rPr>
          <w:sz w:val="28"/>
          <w:szCs w:val="28"/>
        </w:rPr>
        <w:t>VPA</w:t>
      </w:r>
      <w:r w:rsidR="00D42DC8">
        <w:rPr>
          <w:sz w:val="28"/>
          <w:szCs w:val="28"/>
        </w:rPr>
        <w:t xml:space="preserve"> implementers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0C0" w:firstRow="0" w:lastRow="1" w:firstColumn="1" w:lastColumn="0" w:noHBand="0" w:noVBand="0"/>
      </w:tblPr>
      <w:tblGrid>
        <w:gridCol w:w="3114"/>
        <w:gridCol w:w="6515"/>
      </w:tblGrid>
      <w:tr w:rsidR="00FF68B3" w:rsidRPr="000C7CA3" w14:paraId="122C0EC8" w14:textId="77777777" w:rsidTr="003D6267">
        <w:trPr>
          <w:cantSplit/>
          <w:jc w:val="center"/>
        </w:trPr>
        <w:tc>
          <w:tcPr>
            <w:tcW w:w="3114" w:type="dxa"/>
            <w:shd w:val="clear" w:color="auto" w:fill="D9D9D9"/>
            <w:tcMar>
              <w:top w:w="28" w:type="dxa"/>
              <w:left w:w="57" w:type="dxa"/>
              <w:bottom w:w="28" w:type="dxa"/>
              <w:right w:w="57" w:type="dxa"/>
            </w:tcMar>
            <w:vAlign w:val="center"/>
          </w:tcPr>
          <w:p w14:paraId="70DA73CA" w14:textId="77777777" w:rsidR="00FF68B3" w:rsidRPr="000C7CA3" w:rsidRDefault="00FF68B3" w:rsidP="00C416E0">
            <w:pPr>
              <w:pStyle w:val="SDMTableBoxParaNotNumbered"/>
              <w:rPr>
                <w:b/>
              </w:rPr>
            </w:pPr>
            <w:bookmarkStart w:id="26" w:name="_Toc315340783"/>
            <w:bookmarkStart w:id="27" w:name="_Ref315858648"/>
            <w:bookmarkStart w:id="28" w:name="_Toc315960447"/>
            <w:bookmarkStart w:id="29" w:name="_Ref316941105"/>
            <w:bookmarkStart w:id="30" w:name="_Ref316977515"/>
            <w:bookmarkStart w:id="31" w:name="_Toc317063000"/>
            <w:bookmarkEnd w:id="25"/>
            <w:r w:rsidRPr="000C7CA3">
              <w:rPr>
                <w:b/>
              </w:rPr>
              <w:t>Organization</w:t>
            </w:r>
            <w:r w:rsidR="00D118BA">
              <w:rPr>
                <w:b/>
              </w:rPr>
              <w:t xml:space="preserve"> name</w:t>
            </w:r>
          </w:p>
        </w:tc>
        <w:tc>
          <w:tcPr>
            <w:tcW w:w="6515" w:type="dxa"/>
            <w:shd w:val="clear" w:color="auto" w:fill="auto"/>
            <w:tcMar>
              <w:top w:w="28" w:type="dxa"/>
              <w:left w:w="57" w:type="dxa"/>
              <w:bottom w:w="28" w:type="dxa"/>
              <w:right w:w="57" w:type="dxa"/>
            </w:tcMar>
          </w:tcPr>
          <w:p w14:paraId="0798F643" w14:textId="77777777" w:rsidR="00FF68B3" w:rsidRPr="000C7CA3" w:rsidRDefault="00004C78" w:rsidP="00C416E0">
            <w:pPr>
              <w:pStyle w:val="SDMTableBoxParaNotNumbered"/>
            </w:pPr>
            <w:r>
              <w:t>Kenya Biogas Program (KBP)</w:t>
            </w:r>
          </w:p>
        </w:tc>
      </w:tr>
      <w:tr w:rsidR="00FF68B3" w:rsidRPr="000C7CA3" w14:paraId="22298B67" w14:textId="77777777" w:rsidTr="003D6267">
        <w:trPr>
          <w:cantSplit/>
          <w:jc w:val="center"/>
        </w:trPr>
        <w:tc>
          <w:tcPr>
            <w:tcW w:w="3114" w:type="dxa"/>
            <w:shd w:val="clear" w:color="auto" w:fill="D9D9D9"/>
            <w:tcMar>
              <w:top w:w="28" w:type="dxa"/>
              <w:left w:w="57" w:type="dxa"/>
              <w:bottom w:w="28" w:type="dxa"/>
              <w:right w:w="57" w:type="dxa"/>
            </w:tcMar>
            <w:vAlign w:val="center"/>
          </w:tcPr>
          <w:p w14:paraId="3F3FC91A" w14:textId="77777777" w:rsidR="00FF68B3" w:rsidRPr="000C7CA3" w:rsidRDefault="00FF68B3" w:rsidP="00C416E0">
            <w:pPr>
              <w:pStyle w:val="SDMTableBoxParaNotNumbered"/>
              <w:rPr>
                <w:b/>
              </w:rPr>
            </w:pPr>
            <w:r w:rsidRPr="000C7CA3">
              <w:rPr>
                <w:b/>
              </w:rPr>
              <w:t>Country</w:t>
            </w:r>
          </w:p>
        </w:tc>
        <w:tc>
          <w:tcPr>
            <w:tcW w:w="6515" w:type="dxa"/>
            <w:shd w:val="clear" w:color="auto" w:fill="auto"/>
            <w:tcMar>
              <w:top w:w="28" w:type="dxa"/>
              <w:left w:w="57" w:type="dxa"/>
              <w:bottom w:w="28" w:type="dxa"/>
              <w:right w:w="57" w:type="dxa"/>
            </w:tcMar>
          </w:tcPr>
          <w:p w14:paraId="0D12B800" w14:textId="77777777" w:rsidR="00FF68B3" w:rsidRPr="000C7CA3" w:rsidRDefault="00004C78" w:rsidP="00C416E0">
            <w:pPr>
              <w:pStyle w:val="SDMTableBoxParaNotNumbered"/>
            </w:pPr>
            <w:r>
              <w:t>Kenya</w:t>
            </w:r>
          </w:p>
        </w:tc>
      </w:tr>
      <w:tr w:rsidR="00A21DF9" w:rsidRPr="000C7CA3" w14:paraId="2035F4C8" w14:textId="77777777" w:rsidTr="003D6267">
        <w:trPr>
          <w:cantSplit/>
          <w:jc w:val="center"/>
        </w:trPr>
        <w:tc>
          <w:tcPr>
            <w:tcW w:w="3114" w:type="dxa"/>
            <w:shd w:val="clear" w:color="auto" w:fill="D9D9D9"/>
            <w:tcMar>
              <w:top w:w="28" w:type="dxa"/>
              <w:left w:w="57" w:type="dxa"/>
              <w:bottom w:w="28" w:type="dxa"/>
              <w:right w:w="57" w:type="dxa"/>
            </w:tcMar>
            <w:vAlign w:val="center"/>
          </w:tcPr>
          <w:p w14:paraId="2ED5B91F" w14:textId="77777777" w:rsidR="00A21DF9" w:rsidRDefault="00A21DF9" w:rsidP="00C416E0">
            <w:pPr>
              <w:pStyle w:val="SDMTableBoxParaNotNumbered"/>
              <w:rPr>
                <w:b/>
              </w:rPr>
            </w:pPr>
            <w:r>
              <w:rPr>
                <w:b/>
              </w:rPr>
              <w:t>Address</w:t>
            </w:r>
          </w:p>
        </w:tc>
        <w:tc>
          <w:tcPr>
            <w:tcW w:w="6515" w:type="dxa"/>
            <w:shd w:val="clear" w:color="auto" w:fill="auto"/>
            <w:tcMar>
              <w:top w:w="28" w:type="dxa"/>
              <w:left w:w="57" w:type="dxa"/>
              <w:bottom w:w="28" w:type="dxa"/>
              <w:right w:w="57" w:type="dxa"/>
            </w:tcMar>
          </w:tcPr>
          <w:p w14:paraId="582BB7C5" w14:textId="77777777" w:rsidR="005A6457" w:rsidRPr="000C7CA3" w:rsidRDefault="00004C78" w:rsidP="00C416E0">
            <w:pPr>
              <w:pStyle w:val="SDMTableBoxParaNotNumbered"/>
            </w:pPr>
            <w:r>
              <w:t>P.O. Box 79875-00202 Nairobi</w:t>
            </w:r>
          </w:p>
        </w:tc>
      </w:tr>
      <w:tr w:rsidR="00FF68B3" w:rsidRPr="000C7CA3" w14:paraId="76820701" w14:textId="77777777" w:rsidTr="003D6267">
        <w:trPr>
          <w:cantSplit/>
          <w:jc w:val="center"/>
        </w:trPr>
        <w:tc>
          <w:tcPr>
            <w:tcW w:w="3114" w:type="dxa"/>
            <w:shd w:val="clear" w:color="auto" w:fill="D9D9D9"/>
            <w:tcMar>
              <w:top w:w="28" w:type="dxa"/>
              <w:left w:w="57" w:type="dxa"/>
              <w:bottom w:w="28" w:type="dxa"/>
              <w:right w:w="57" w:type="dxa"/>
            </w:tcMar>
            <w:vAlign w:val="center"/>
          </w:tcPr>
          <w:p w14:paraId="50FC6BEE" w14:textId="77777777" w:rsidR="00FF68B3" w:rsidRPr="000C7CA3" w:rsidRDefault="00FF68B3" w:rsidP="00C416E0">
            <w:pPr>
              <w:pStyle w:val="SDMTableBoxParaNotNumbered"/>
              <w:rPr>
                <w:b/>
              </w:rPr>
            </w:pPr>
            <w:r w:rsidRPr="000C7CA3">
              <w:rPr>
                <w:b/>
              </w:rPr>
              <w:t>Telephone</w:t>
            </w:r>
          </w:p>
        </w:tc>
        <w:tc>
          <w:tcPr>
            <w:tcW w:w="6515" w:type="dxa"/>
            <w:shd w:val="clear" w:color="auto" w:fill="auto"/>
            <w:tcMar>
              <w:top w:w="28" w:type="dxa"/>
              <w:left w:w="57" w:type="dxa"/>
              <w:bottom w:w="28" w:type="dxa"/>
              <w:right w:w="57" w:type="dxa"/>
            </w:tcMar>
          </w:tcPr>
          <w:p w14:paraId="7EC56A0A" w14:textId="77777777" w:rsidR="00FF68B3" w:rsidRPr="000C7CA3" w:rsidRDefault="00004C78" w:rsidP="00C416E0">
            <w:pPr>
              <w:pStyle w:val="SDMTableBoxParaNotNumbered"/>
            </w:pPr>
            <w:r>
              <w:t>0791496964</w:t>
            </w:r>
          </w:p>
        </w:tc>
      </w:tr>
      <w:tr w:rsidR="00FF68B3" w:rsidRPr="000C7CA3" w14:paraId="271CF2B8" w14:textId="77777777" w:rsidTr="003D6267">
        <w:trPr>
          <w:cantSplit/>
          <w:jc w:val="center"/>
        </w:trPr>
        <w:tc>
          <w:tcPr>
            <w:tcW w:w="3114" w:type="dxa"/>
            <w:shd w:val="clear" w:color="auto" w:fill="D9D9D9"/>
            <w:tcMar>
              <w:top w:w="28" w:type="dxa"/>
              <w:left w:w="57" w:type="dxa"/>
              <w:bottom w:w="28" w:type="dxa"/>
              <w:right w:w="57" w:type="dxa"/>
            </w:tcMar>
            <w:vAlign w:val="center"/>
          </w:tcPr>
          <w:p w14:paraId="7553977D" w14:textId="77777777" w:rsidR="00FF68B3" w:rsidRPr="000C7CA3" w:rsidRDefault="00FF68B3" w:rsidP="00C416E0">
            <w:pPr>
              <w:pStyle w:val="SDMTableBoxParaNotNumbered"/>
              <w:rPr>
                <w:b/>
              </w:rPr>
            </w:pPr>
            <w:r w:rsidRPr="000C7CA3">
              <w:rPr>
                <w:b/>
              </w:rPr>
              <w:t>Fax</w:t>
            </w:r>
          </w:p>
        </w:tc>
        <w:tc>
          <w:tcPr>
            <w:tcW w:w="6515" w:type="dxa"/>
            <w:shd w:val="clear" w:color="auto" w:fill="auto"/>
            <w:tcMar>
              <w:top w:w="28" w:type="dxa"/>
              <w:left w:w="57" w:type="dxa"/>
              <w:bottom w:w="28" w:type="dxa"/>
              <w:right w:w="57" w:type="dxa"/>
            </w:tcMar>
          </w:tcPr>
          <w:p w14:paraId="22E7866E" w14:textId="77777777" w:rsidR="00FF68B3" w:rsidRPr="000C7CA3" w:rsidRDefault="00004C78" w:rsidP="005A6457">
            <w:pPr>
              <w:pStyle w:val="SDMTableBoxParaNotNumbered"/>
            </w:pPr>
            <w:r>
              <w:t>Not applicable</w:t>
            </w:r>
          </w:p>
        </w:tc>
      </w:tr>
      <w:tr w:rsidR="00FF68B3" w:rsidRPr="000C7CA3" w14:paraId="12B60860" w14:textId="77777777" w:rsidTr="003D6267">
        <w:trPr>
          <w:cantSplit/>
          <w:jc w:val="center"/>
        </w:trPr>
        <w:tc>
          <w:tcPr>
            <w:tcW w:w="3114" w:type="dxa"/>
            <w:shd w:val="clear" w:color="auto" w:fill="D9D9D9"/>
            <w:tcMar>
              <w:top w:w="28" w:type="dxa"/>
              <w:left w:w="57" w:type="dxa"/>
              <w:bottom w:w="28" w:type="dxa"/>
              <w:right w:w="57" w:type="dxa"/>
            </w:tcMar>
            <w:vAlign w:val="center"/>
          </w:tcPr>
          <w:p w14:paraId="1C983EA2" w14:textId="77777777" w:rsidR="00FF68B3" w:rsidRPr="000C7CA3" w:rsidRDefault="00FF68B3" w:rsidP="00C416E0">
            <w:pPr>
              <w:pStyle w:val="SDMTableBoxParaNotNumbered"/>
              <w:rPr>
                <w:b/>
              </w:rPr>
            </w:pPr>
            <w:r w:rsidRPr="000C7CA3">
              <w:rPr>
                <w:b/>
              </w:rPr>
              <w:t>E-mail</w:t>
            </w:r>
          </w:p>
        </w:tc>
        <w:tc>
          <w:tcPr>
            <w:tcW w:w="6515" w:type="dxa"/>
            <w:shd w:val="clear" w:color="auto" w:fill="auto"/>
            <w:tcMar>
              <w:top w:w="28" w:type="dxa"/>
              <w:left w:w="57" w:type="dxa"/>
              <w:bottom w:w="28" w:type="dxa"/>
              <w:right w:w="57" w:type="dxa"/>
            </w:tcMar>
          </w:tcPr>
          <w:p w14:paraId="17A792C3" w14:textId="77777777" w:rsidR="00FF68B3" w:rsidRPr="000C7CA3" w:rsidRDefault="00B964EE" w:rsidP="00C416E0">
            <w:pPr>
              <w:pStyle w:val="SDMTableBoxParaNotNumbered"/>
            </w:pPr>
            <w:hyperlink r:id="rId22" w:history="1">
              <w:r w:rsidR="00004C78" w:rsidRPr="00531171">
                <w:rPr>
                  <w:rStyle w:val="Hyperlink"/>
                </w:rPr>
                <w:t>info@kbp.co.ke</w:t>
              </w:r>
            </w:hyperlink>
          </w:p>
        </w:tc>
      </w:tr>
      <w:tr w:rsidR="00FF68B3" w:rsidRPr="000C7CA3" w14:paraId="47C4D433" w14:textId="77777777" w:rsidTr="003D6267">
        <w:trPr>
          <w:cantSplit/>
          <w:jc w:val="center"/>
        </w:trPr>
        <w:tc>
          <w:tcPr>
            <w:tcW w:w="3114" w:type="dxa"/>
            <w:shd w:val="clear" w:color="auto" w:fill="D9D9D9"/>
            <w:tcMar>
              <w:top w:w="28" w:type="dxa"/>
              <w:left w:w="57" w:type="dxa"/>
              <w:bottom w:w="28" w:type="dxa"/>
              <w:right w:w="57" w:type="dxa"/>
            </w:tcMar>
            <w:vAlign w:val="center"/>
          </w:tcPr>
          <w:p w14:paraId="6C6C13ED" w14:textId="77777777" w:rsidR="00FF68B3" w:rsidRPr="000C7CA3" w:rsidRDefault="00FF68B3" w:rsidP="00C416E0">
            <w:pPr>
              <w:pStyle w:val="SDMTableBoxParaNotNumbered"/>
              <w:rPr>
                <w:b/>
              </w:rPr>
            </w:pPr>
            <w:r w:rsidRPr="000C7CA3">
              <w:rPr>
                <w:b/>
              </w:rPr>
              <w:t>Website</w:t>
            </w:r>
          </w:p>
        </w:tc>
        <w:tc>
          <w:tcPr>
            <w:tcW w:w="6515" w:type="dxa"/>
            <w:shd w:val="clear" w:color="auto" w:fill="auto"/>
            <w:tcMar>
              <w:top w:w="28" w:type="dxa"/>
              <w:left w:w="57" w:type="dxa"/>
              <w:bottom w:w="28" w:type="dxa"/>
              <w:right w:w="57" w:type="dxa"/>
            </w:tcMar>
          </w:tcPr>
          <w:p w14:paraId="09456F20" w14:textId="77777777" w:rsidR="00FF68B3" w:rsidRPr="000C7CA3" w:rsidRDefault="00B964EE" w:rsidP="00C416E0">
            <w:pPr>
              <w:pStyle w:val="SDMTableBoxParaNotNumbered"/>
            </w:pPr>
            <w:hyperlink r:id="rId23" w:history="1">
              <w:r w:rsidR="00004C78" w:rsidRPr="00531171">
                <w:rPr>
                  <w:rStyle w:val="Hyperlink"/>
                </w:rPr>
                <w:t>http://kenyabiogas.com</w:t>
              </w:r>
            </w:hyperlink>
          </w:p>
        </w:tc>
      </w:tr>
      <w:tr w:rsidR="00FF68B3" w:rsidRPr="000C7CA3" w14:paraId="40F06BC9" w14:textId="77777777" w:rsidTr="003D6267">
        <w:trPr>
          <w:cantSplit/>
          <w:jc w:val="center"/>
        </w:trPr>
        <w:tc>
          <w:tcPr>
            <w:tcW w:w="3114" w:type="dxa"/>
            <w:shd w:val="clear" w:color="auto" w:fill="D9D9D9"/>
            <w:tcMar>
              <w:top w:w="28" w:type="dxa"/>
              <w:left w:w="57" w:type="dxa"/>
              <w:bottom w:w="28" w:type="dxa"/>
              <w:right w:w="57" w:type="dxa"/>
            </w:tcMar>
            <w:vAlign w:val="center"/>
          </w:tcPr>
          <w:p w14:paraId="650D7D7E" w14:textId="77777777" w:rsidR="00FF68B3" w:rsidRPr="000C7CA3" w:rsidRDefault="00FF68B3" w:rsidP="00C416E0">
            <w:pPr>
              <w:pStyle w:val="SDMTableBoxParaNotNumbered"/>
              <w:rPr>
                <w:b/>
              </w:rPr>
            </w:pPr>
            <w:r w:rsidRPr="000C7CA3">
              <w:rPr>
                <w:b/>
              </w:rPr>
              <w:t>Contact person</w:t>
            </w:r>
          </w:p>
        </w:tc>
        <w:tc>
          <w:tcPr>
            <w:tcW w:w="6515" w:type="dxa"/>
            <w:shd w:val="clear" w:color="auto" w:fill="auto"/>
            <w:tcMar>
              <w:top w:w="28" w:type="dxa"/>
              <w:left w:w="57" w:type="dxa"/>
              <w:bottom w:w="28" w:type="dxa"/>
              <w:right w:w="57" w:type="dxa"/>
            </w:tcMar>
          </w:tcPr>
          <w:p w14:paraId="51944A3A" w14:textId="77777777" w:rsidR="00FF68B3" w:rsidRPr="005A6457" w:rsidRDefault="00004C78" w:rsidP="00C416E0">
            <w:pPr>
              <w:pStyle w:val="SDMTableBoxParaNotNumbered"/>
              <w:rPr>
                <w:highlight w:val="yellow"/>
              </w:rPr>
            </w:pPr>
            <w:r w:rsidRPr="00004C78">
              <w:t>Kevin Kinusu</w:t>
            </w:r>
          </w:p>
        </w:tc>
      </w:tr>
    </w:tbl>
    <w:p w14:paraId="6263DA41" w14:textId="77777777" w:rsidR="000978C2" w:rsidRPr="0089085E" w:rsidRDefault="00975233" w:rsidP="00004C78">
      <w:pPr>
        <w:pStyle w:val="SDMAppTitle"/>
        <w:keepLines w:val="0"/>
        <w:pageBreakBefore w:val="0"/>
        <w:numPr>
          <w:ilvl w:val="0"/>
          <w:numId w:val="0"/>
        </w:numPr>
        <w:spacing w:before="720" w:after="360"/>
        <w:rPr>
          <w:sz w:val="28"/>
          <w:szCs w:val="28"/>
        </w:rPr>
      </w:pPr>
      <w:r>
        <w:rPr>
          <w:sz w:val="28"/>
          <w:szCs w:val="28"/>
        </w:rPr>
        <w:br w:type="page"/>
      </w:r>
      <w:r w:rsidR="000978C2" w:rsidRPr="0089085E">
        <w:rPr>
          <w:sz w:val="28"/>
          <w:szCs w:val="28"/>
        </w:rPr>
        <w:lastRenderedPageBreak/>
        <w:t>Affirmation regarding public funding</w:t>
      </w:r>
      <w:bookmarkEnd w:id="26"/>
      <w:bookmarkEnd w:id="27"/>
      <w:bookmarkEnd w:id="28"/>
      <w:bookmarkEnd w:id="29"/>
      <w:bookmarkEnd w:id="30"/>
      <w:bookmarkEnd w:id="31"/>
    </w:p>
    <w:p w14:paraId="2BB8E075" w14:textId="77777777" w:rsidR="00A13A81" w:rsidRPr="009D1AF7" w:rsidRDefault="00A13A81" w:rsidP="009D1AF7">
      <w:pPr>
        <w:pStyle w:val="SDMApp1"/>
        <w:keepNext w:val="0"/>
        <w:keepLines w:val="0"/>
        <w:spacing w:before="0" w:after="0"/>
        <w:ind w:left="0" w:firstLine="0"/>
        <w:rPr>
          <w:b w:val="0"/>
          <w:sz w:val="22"/>
          <w:szCs w:val="22"/>
        </w:rPr>
      </w:pPr>
    </w:p>
    <w:p w14:paraId="6E87B11B" w14:textId="77777777" w:rsidR="00975233" w:rsidRDefault="003E61D1" w:rsidP="009630FB">
      <w:pPr>
        <w:rPr>
          <w:rFonts w:cs="Arial"/>
        </w:rPr>
      </w:pPr>
      <w:r>
        <w:rPr>
          <w:noProof/>
          <w:lang w:val="en-US" w:eastAsia="en-US"/>
        </w:rPr>
        <w:drawing>
          <wp:inline distT="0" distB="0" distL="0" distR="0" wp14:anchorId="701FEFCA" wp14:editId="143EFE10">
            <wp:extent cx="5935980" cy="853714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5938188" cy="8540315"/>
                    </a:xfrm>
                    <a:prstGeom prst="rect">
                      <a:avLst/>
                    </a:prstGeom>
                    <a:ln>
                      <a:noFill/>
                    </a:ln>
                    <a:extLst>
                      <a:ext uri="{53640926-AAD7-44D8-BBD7-CCE9431645EC}">
                        <a14:shadowObscured xmlns:a14="http://schemas.microsoft.com/office/drawing/2010/main"/>
                      </a:ext>
                    </a:extLst>
                  </pic:spPr>
                </pic:pic>
              </a:graphicData>
            </a:graphic>
          </wp:inline>
        </w:drawing>
      </w:r>
    </w:p>
    <w:p w14:paraId="66A25962" w14:textId="77777777" w:rsidR="003E61D1" w:rsidRPr="004F7C48" w:rsidRDefault="003E61D1" w:rsidP="009630FB">
      <w:pPr>
        <w:rPr>
          <w:rFonts w:cs="Arial"/>
        </w:rPr>
      </w:pPr>
      <w:r>
        <w:rPr>
          <w:noProof/>
          <w:lang w:val="en-US" w:eastAsia="en-US"/>
        </w:rPr>
        <w:lastRenderedPageBreak/>
        <w:drawing>
          <wp:inline distT="0" distB="0" distL="0" distR="0" wp14:anchorId="4FA57205" wp14:editId="19140B3A">
            <wp:extent cx="5989320" cy="8627997"/>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5993184" cy="8633563"/>
                    </a:xfrm>
                    <a:prstGeom prst="rect">
                      <a:avLst/>
                    </a:prstGeom>
                    <a:ln>
                      <a:noFill/>
                    </a:ln>
                    <a:extLst>
                      <a:ext uri="{53640926-AAD7-44D8-BBD7-CCE9431645EC}">
                        <a14:shadowObscured xmlns:a14="http://schemas.microsoft.com/office/drawing/2010/main"/>
                      </a:ext>
                    </a:extLst>
                  </pic:spPr>
                </pic:pic>
              </a:graphicData>
            </a:graphic>
          </wp:inline>
        </w:drawing>
      </w:r>
    </w:p>
    <w:p w14:paraId="7D4BF91D" w14:textId="77777777" w:rsidR="00D42DC8" w:rsidRDefault="00D42DC8" w:rsidP="009D1AF7">
      <w:pPr>
        <w:pStyle w:val="SDMApp1"/>
        <w:keepNext w:val="0"/>
        <w:keepLines w:val="0"/>
        <w:spacing w:before="0" w:after="0"/>
        <w:ind w:left="0" w:firstLine="0"/>
        <w:rPr>
          <w:b w:val="0"/>
          <w:sz w:val="22"/>
          <w:szCs w:val="22"/>
        </w:rPr>
      </w:pPr>
    </w:p>
    <w:p w14:paraId="66A0B8AE" w14:textId="77777777" w:rsidR="00975233" w:rsidRPr="009D1AF7" w:rsidRDefault="00975233" w:rsidP="009D1AF7">
      <w:pPr>
        <w:pStyle w:val="SDMApp1"/>
        <w:keepNext w:val="0"/>
        <w:keepLines w:val="0"/>
        <w:spacing w:before="0" w:after="0"/>
        <w:ind w:left="0" w:firstLine="0"/>
        <w:rPr>
          <w:b w:val="0"/>
          <w:sz w:val="22"/>
          <w:szCs w:val="22"/>
        </w:rPr>
      </w:pPr>
      <w:r>
        <w:rPr>
          <w:noProof/>
          <w:lang w:eastAsia="en-GB"/>
        </w:rPr>
        <w:br w:type="page"/>
      </w:r>
    </w:p>
    <w:p w14:paraId="3ED9E1D3" w14:textId="77777777" w:rsidR="00A13A81" w:rsidRPr="0089085E" w:rsidRDefault="0035720C" w:rsidP="00832827">
      <w:pPr>
        <w:pStyle w:val="SDMAppTitle"/>
        <w:keepLines w:val="0"/>
        <w:pageBreakBefore w:val="0"/>
        <w:spacing w:after="360"/>
        <w:rPr>
          <w:sz w:val="28"/>
          <w:szCs w:val="28"/>
        </w:rPr>
      </w:pPr>
      <w:bookmarkStart w:id="32" w:name="appendix3"/>
      <w:bookmarkStart w:id="33" w:name="_Toc315340784"/>
      <w:r w:rsidRPr="0089085E">
        <w:rPr>
          <w:sz w:val="28"/>
          <w:szCs w:val="28"/>
        </w:rPr>
        <w:lastRenderedPageBreak/>
        <w:t>Applicability of methodologies and standardized baselines</w:t>
      </w:r>
    </w:p>
    <w:p w14:paraId="47B923BC" w14:textId="77777777" w:rsidR="009D1AF7" w:rsidRDefault="00AF33DA" w:rsidP="009D1AF7">
      <w:pPr>
        <w:pStyle w:val="SDMApp1"/>
        <w:keepNext w:val="0"/>
        <w:keepLines w:val="0"/>
        <w:spacing w:before="0" w:after="0"/>
        <w:ind w:left="0" w:firstLine="0"/>
        <w:rPr>
          <w:b w:val="0"/>
          <w:sz w:val="22"/>
          <w:szCs w:val="22"/>
        </w:rPr>
      </w:pPr>
      <w:r>
        <w:rPr>
          <w:b w:val="0"/>
          <w:sz w:val="22"/>
          <w:szCs w:val="22"/>
        </w:rPr>
        <w:t>Please see section</w:t>
      </w:r>
      <w:r w:rsidR="00D63195">
        <w:rPr>
          <w:b w:val="0"/>
          <w:sz w:val="22"/>
          <w:szCs w:val="22"/>
        </w:rPr>
        <w:t xml:space="preserve"> B.1. of the VPA-DD for details.</w:t>
      </w:r>
    </w:p>
    <w:p w14:paraId="249CB319" w14:textId="77777777" w:rsidR="00D63195" w:rsidRDefault="00D63195" w:rsidP="009D1AF7">
      <w:pPr>
        <w:pStyle w:val="SDMApp1"/>
        <w:keepNext w:val="0"/>
        <w:keepLines w:val="0"/>
        <w:spacing w:before="0" w:after="0"/>
        <w:ind w:left="0" w:firstLine="0"/>
        <w:rPr>
          <w:b w:val="0"/>
          <w:sz w:val="22"/>
          <w:szCs w:val="22"/>
        </w:rPr>
      </w:pPr>
    </w:p>
    <w:p w14:paraId="2A8F8AB8" w14:textId="77777777" w:rsidR="00D63195" w:rsidRPr="009D1AF7" w:rsidRDefault="00D63195" w:rsidP="009D1AF7">
      <w:pPr>
        <w:pStyle w:val="SDMApp1"/>
        <w:keepNext w:val="0"/>
        <w:keepLines w:val="0"/>
        <w:spacing w:before="0" w:after="0"/>
        <w:ind w:left="0" w:firstLine="0"/>
        <w:rPr>
          <w:b w:val="0"/>
          <w:sz w:val="22"/>
          <w:szCs w:val="22"/>
        </w:rPr>
      </w:pPr>
    </w:p>
    <w:p w14:paraId="5FC97701" w14:textId="77777777" w:rsidR="000978C2" w:rsidRPr="0089085E" w:rsidRDefault="000978C2" w:rsidP="00832827">
      <w:pPr>
        <w:pStyle w:val="SDMAppTitle"/>
        <w:keepLines w:val="0"/>
        <w:pageBreakBefore w:val="0"/>
        <w:spacing w:after="360"/>
        <w:rPr>
          <w:sz w:val="28"/>
          <w:szCs w:val="28"/>
        </w:rPr>
      </w:pPr>
      <w:bookmarkStart w:id="34" w:name="_Ref315858718"/>
      <w:bookmarkStart w:id="35" w:name="_Toc315960449"/>
      <w:bookmarkStart w:id="36" w:name="_Toc317063002"/>
      <w:r w:rsidRPr="0089085E">
        <w:rPr>
          <w:sz w:val="28"/>
          <w:szCs w:val="28"/>
        </w:rPr>
        <w:t xml:space="preserve">Further background information on </w:t>
      </w:r>
      <w:bookmarkEnd w:id="32"/>
      <w:bookmarkEnd w:id="33"/>
      <w:r w:rsidRPr="0089085E">
        <w:rPr>
          <w:sz w:val="28"/>
          <w:szCs w:val="28"/>
        </w:rPr>
        <w:t>ex ante calculation of emission reductions</w:t>
      </w:r>
      <w:bookmarkEnd w:id="34"/>
      <w:bookmarkEnd w:id="35"/>
      <w:bookmarkEnd w:id="36"/>
    </w:p>
    <w:p w14:paraId="4EE74A1D" w14:textId="77777777" w:rsidR="00D42DC8" w:rsidRDefault="00AF33DA" w:rsidP="009D1AF7">
      <w:pPr>
        <w:pStyle w:val="SDMApp1"/>
        <w:keepNext w:val="0"/>
        <w:keepLines w:val="0"/>
        <w:spacing w:before="0" w:after="0"/>
        <w:ind w:left="0" w:firstLine="0"/>
        <w:rPr>
          <w:b w:val="0"/>
          <w:sz w:val="22"/>
          <w:szCs w:val="22"/>
        </w:rPr>
      </w:pPr>
      <w:r>
        <w:rPr>
          <w:b w:val="0"/>
          <w:sz w:val="22"/>
          <w:szCs w:val="22"/>
        </w:rPr>
        <w:t xml:space="preserve">No further background information necessary </w:t>
      </w:r>
    </w:p>
    <w:p w14:paraId="1A1311D4" w14:textId="77777777" w:rsidR="00D63195" w:rsidRDefault="00D63195" w:rsidP="009D1AF7">
      <w:pPr>
        <w:pStyle w:val="SDMApp1"/>
        <w:keepNext w:val="0"/>
        <w:keepLines w:val="0"/>
        <w:spacing w:before="0" w:after="0"/>
        <w:ind w:left="0" w:firstLine="0"/>
        <w:rPr>
          <w:b w:val="0"/>
          <w:sz w:val="22"/>
          <w:szCs w:val="22"/>
        </w:rPr>
      </w:pPr>
    </w:p>
    <w:p w14:paraId="689FBCF1" w14:textId="77777777" w:rsidR="00D63195" w:rsidRPr="009D1AF7" w:rsidRDefault="00D63195" w:rsidP="009D1AF7">
      <w:pPr>
        <w:pStyle w:val="SDMApp1"/>
        <w:keepNext w:val="0"/>
        <w:keepLines w:val="0"/>
        <w:spacing w:before="0" w:after="0"/>
        <w:ind w:left="0" w:firstLine="0"/>
        <w:rPr>
          <w:b w:val="0"/>
          <w:sz w:val="22"/>
          <w:szCs w:val="22"/>
        </w:rPr>
      </w:pPr>
    </w:p>
    <w:p w14:paraId="53205BF7" w14:textId="77777777" w:rsidR="00E8385B" w:rsidRPr="0089085E" w:rsidRDefault="000978C2" w:rsidP="00832827">
      <w:pPr>
        <w:pStyle w:val="SDMAppTitle"/>
        <w:keepLines w:val="0"/>
        <w:pageBreakBefore w:val="0"/>
        <w:spacing w:after="360"/>
        <w:rPr>
          <w:sz w:val="28"/>
          <w:szCs w:val="28"/>
        </w:rPr>
      </w:pPr>
      <w:bookmarkStart w:id="37" w:name="appendix4"/>
      <w:bookmarkStart w:id="38" w:name="_Toc315340785"/>
      <w:bookmarkStart w:id="39" w:name="_Toc315960450"/>
      <w:bookmarkStart w:id="40" w:name="_Toc317063003"/>
      <w:r w:rsidRPr="0089085E">
        <w:rPr>
          <w:sz w:val="28"/>
          <w:szCs w:val="28"/>
        </w:rPr>
        <w:t>Further background information on monitoring plan</w:t>
      </w:r>
      <w:bookmarkEnd w:id="37"/>
      <w:bookmarkEnd w:id="38"/>
      <w:bookmarkEnd w:id="39"/>
      <w:bookmarkEnd w:id="40"/>
    </w:p>
    <w:p w14:paraId="1B74FA95" w14:textId="77777777" w:rsidR="00D42DC8" w:rsidRDefault="00AF33DA" w:rsidP="009D1AF7">
      <w:pPr>
        <w:pStyle w:val="SDMApp1"/>
        <w:keepNext w:val="0"/>
        <w:keepLines w:val="0"/>
        <w:spacing w:before="0" w:after="0"/>
        <w:ind w:left="0" w:firstLine="0"/>
        <w:rPr>
          <w:b w:val="0"/>
          <w:sz w:val="22"/>
          <w:szCs w:val="22"/>
        </w:rPr>
      </w:pPr>
      <w:r>
        <w:rPr>
          <w:b w:val="0"/>
          <w:sz w:val="22"/>
          <w:szCs w:val="22"/>
        </w:rPr>
        <w:t xml:space="preserve">No further background information necessary </w:t>
      </w:r>
    </w:p>
    <w:p w14:paraId="71BDF686" w14:textId="77777777" w:rsidR="00D63195" w:rsidRDefault="00D63195" w:rsidP="009D1AF7">
      <w:pPr>
        <w:pStyle w:val="SDMApp1"/>
        <w:keepNext w:val="0"/>
        <w:keepLines w:val="0"/>
        <w:spacing w:before="0" w:after="0"/>
        <w:ind w:left="0" w:firstLine="0"/>
        <w:rPr>
          <w:b w:val="0"/>
          <w:sz w:val="22"/>
          <w:szCs w:val="22"/>
        </w:rPr>
      </w:pPr>
    </w:p>
    <w:p w14:paraId="1FA76F10" w14:textId="77777777" w:rsidR="00D63195" w:rsidRPr="009D1AF7" w:rsidRDefault="00D63195" w:rsidP="009D1AF7">
      <w:pPr>
        <w:pStyle w:val="SDMApp1"/>
        <w:keepNext w:val="0"/>
        <w:keepLines w:val="0"/>
        <w:spacing w:before="0" w:after="0"/>
        <w:ind w:left="0" w:firstLine="0"/>
        <w:rPr>
          <w:b w:val="0"/>
          <w:sz w:val="22"/>
          <w:szCs w:val="22"/>
        </w:rPr>
      </w:pPr>
    </w:p>
    <w:p w14:paraId="755C805E" w14:textId="77777777" w:rsidR="0084767A" w:rsidRPr="0089085E" w:rsidRDefault="0084767A" w:rsidP="00832827">
      <w:pPr>
        <w:pStyle w:val="SDMAppTitle"/>
        <w:keepLines w:val="0"/>
        <w:pageBreakBefore w:val="0"/>
        <w:spacing w:after="360"/>
        <w:rPr>
          <w:sz w:val="28"/>
          <w:szCs w:val="28"/>
        </w:rPr>
      </w:pPr>
      <w:r w:rsidRPr="0089085E">
        <w:rPr>
          <w:sz w:val="28"/>
          <w:szCs w:val="28"/>
        </w:rPr>
        <w:t>Summary report of comments received from local stakeholders</w:t>
      </w:r>
    </w:p>
    <w:p w14:paraId="78B581E4" w14:textId="77777777" w:rsidR="00A13A81" w:rsidRPr="009D1AF7" w:rsidRDefault="00A13A81" w:rsidP="009D1AF7">
      <w:pPr>
        <w:pStyle w:val="SDMApp1"/>
        <w:keepNext w:val="0"/>
        <w:keepLines w:val="0"/>
        <w:spacing w:before="0" w:after="0"/>
        <w:ind w:left="0" w:firstLine="0"/>
        <w:rPr>
          <w:b w:val="0"/>
          <w:sz w:val="22"/>
          <w:szCs w:val="22"/>
        </w:rPr>
      </w:pPr>
    </w:p>
    <w:p w14:paraId="66450FD2" w14:textId="77777777" w:rsidR="00E8385B" w:rsidRDefault="00E8385B" w:rsidP="00832827">
      <w:pPr>
        <w:pStyle w:val="SDMAppTitle"/>
        <w:keepLines w:val="0"/>
        <w:pageBreakBefore w:val="0"/>
        <w:spacing w:after="360"/>
        <w:rPr>
          <w:sz w:val="28"/>
          <w:szCs w:val="28"/>
        </w:rPr>
      </w:pPr>
      <w:bookmarkStart w:id="41" w:name="_Ref483393557"/>
      <w:r w:rsidRPr="0089085E">
        <w:rPr>
          <w:sz w:val="28"/>
          <w:szCs w:val="28"/>
        </w:rPr>
        <w:t>Summary of post</w:t>
      </w:r>
      <w:r w:rsidR="000B40D2">
        <w:rPr>
          <w:sz w:val="28"/>
          <w:szCs w:val="28"/>
        </w:rPr>
        <w:t>-</w:t>
      </w:r>
      <w:r w:rsidRPr="0089085E">
        <w:rPr>
          <w:sz w:val="28"/>
          <w:szCs w:val="28"/>
        </w:rPr>
        <w:t>registration changes</w:t>
      </w:r>
      <w:bookmarkEnd w:id="41"/>
    </w:p>
    <w:p w14:paraId="027CDF35" w14:textId="77777777" w:rsidR="00D42DC8" w:rsidRPr="009D1AF7" w:rsidRDefault="00D42DC8" w:rsidP="009D1AF7">
      <w:pPr>
        <w:pStyle w:val="SDMApp1"/>
        <w:keepNext w:val="0"/>
        <w:keepLines w:val="0"/>
        <w:spacing w:before="0" w:after="0"/>
        <w:ind w:left="0" w:firstLine="0"/>
        <w:rPr>
          <w:b w:val="0"/>
          <w:sz w:val="22"/>
          <w:szCs w:val="22"/>
        </w:rPr>
      </w:pPr>
    </w:p>
    <w:p w14:paraId="0B8BA7A9" w14:textId="77777777" w:rsidR="00D42DC8" w:rsidRPr="009D1AF7" w:rsidRDefault="00D42DC8" w:rsidP="009D1AF7">
      <w:pPr>
        <w:pStyle w:val="SDMApp1"/>
        <w:keepNext w:val="0"/>
        <w:keepLines w:val="0"/>
        <w:spacing w:before="0" w:after="0"/>
        <w:ind w:left="0" w:firstLine="0"/>
        <w:rPr>
          <w:b w:val="0"/>
          <w:sz w:val="22"/>
          <w:szCs w:val="22"/>
        </w:rPr>
      </w:pPr>
    </w:p>
    <w:p w14:paraId="07ABA2BE" w14:textId="77777777" w:rsidR="008B3111" w:rsidRPr="00624607" w:rsidRDefault="00AF33DA" w:rsidP="004745B6">
      <w:pPr>
        <w:pStyle w:val="SDMApp1"/>
        <w:keepNext w:val="0"/>
        <w:keepLines w:val="0"/>
        <w:spacing w:before="0" w:after="0"/>
        <w:ind w:left="0" w:firstLine="0"/>
        <w:rPr>
          <w:sz w:val="2"/>
          <w:szCs w:val="2"/>
        </w:rPr>
      </w:pPr>
      <w:r w:rsidRPr="00AF33DA">
        <w:rPr>
          <w:b w:val="0"/>
          <w:sz w:val="22"/>
          <w:szCs w:val="22"/>
        </w:rPr>
        <w:t>N/A</w:t>
      </w:r>
      <w:bookmarkStart w:id="42" w:name="_Toc382406467"/>
      <w:bookmarkEnd w:id="0"/>
      <w:bookmarkEnd w:id="2"/>
      <w:bookmarkEnd w:id="42"/>
    </w:p>
    <w:sectPr w:rsidR="008B3111" w:rsidRPr="00624607" w:rsidSect="008A722F">
      <w:pgSz w:w="11907" w:h="16840" w:code="9"/>
      <w:pgMar w:top="1134" w:right="1134" w:bottom="1134" w:left="1134" w:header="851"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4C7E3" w14:textId="77777777" w:rsidR="00B964EE" w:rsidRDefault="00B964EE">
      <w:r>
        <w:separator/>
      </w:r>
    </w:p>
  </w:endnote>
  <w:endnote w:type="continuationSeparator" w:id="0">
    <w:p w14:paraId="034BCD9C" w14:textId="77777777" w:rsidR="00B964EE" w:rsidRDefault="00B964EE">
      <w:r>
        <w:continuationSeparator/>
      </w:r>
    </w:p>
  </w:endnote>
  <w:endnote w:type="continuationNotice" w:id="1">
    <w:p w14:paraId="4EF1FFC9" w14:textId="77777777" w:rsidR="00B964EE" w:rsidRDefault="00B96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oundryFormSans-Book">
    <w:altName w:val="Courier New"/>
    <w:panose1 w:val="020B0604020202020204"/>
    <w:charset w:val="00"/>
    <w:family w:val="auto"/>
    <w:notTrueType/>
    <w:pitch w:val="variable"/>
    <w:sig w:usb0="00000001"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ENOR Fontana ND">
    <w:altName w:val="Arial Narrow"/>
    <w:panose1 w:val="020B0604020202020204"/>
    <w:charset w:val="00"/>
    <w:family w:val="swiss"/>
    <w:pitch w:val="variable"/>
    <w:sig w:usb0="00000003" w:usb1="00000020" w:usb2="00000000" w:usb3="00000000" w:csb0="00000001" w:csb1="00000000"/>
  </w:font>
  <w:font w:name="Arial-ItalicMT">
    <w:altName w:val="Arial"/>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A0F2C" w14:textId="7E162B47" w:rsidR="00DA2181" w:rsidRPr="00F306F1" w:rsidRDefault="00DA2181" w:rsidP="00C66719">
    <w:pPr>
      <w:pStyle w:val="FooterF"/>
    </w:pPr>
    <w:r w:rsidRPr="00DC3436">
      <w:rPr>
        <w:szCs w:val="22"/>
      </w:rPr>
      <w:t xml:space="preserve">Version </w:t>
    </w:r>
    <w:r>
      <w:rPr>
        <w:szCs w:val="22"/>
      </w:rPr>
      <w:t>08.0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3D14AB">
      <w:rPr>
        <w:rStyle w:val="PageNumber"/>
        <w:noProof/>
        <w:szCs w:val="22"/>
      </w:rPr>
      <w:t>48</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3D14AB">
      <w:rPr>
        <w:rStyle w:val="PageNumber"/>
        <w:noProof/>
        <w:szCs w:val="22"/>
      </w:rPr>
      <w:t>49</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F4EBD" w14:textId="77777777" w:rsidR="00B964EE" w:rsidRDefault="00B964EE">
      <w:r>
        <w:separator/>
      </w:r>
    </w:p>
  </w:footnote>
  <w:footnote w:type="continuationSeparator" w:id="0">
    <w:p w14:paraId="23134070" w14:textId="77777777" w:rsidR="00B964EE" w:rsidRDefault="00B964EE">
      <w:r>
        <w:continuationSeparator/>
      </w:r>
    </w:p>
  </w:footnote>
  <w:footnote w:type="continuationNotice" w:id="1">
    <w:p w14:paraId="59122073" w14:textId="77777777" w:rsidR="00B964EE" w:rsidRDefault="00B964EE"/>
  </w:footnote>
  <w:footnote w:id="2">
    <w:p w14:paraId="05385C94" w14:textId="77777777" w:rsidR="00DA2181" w:rsidRDefault="00DA2181">
      <w:pPr>
        <w:pStyle w:val="FootnoteText"/>
      </w:pPr>
      <w:r>
        <w:rPr>
          <w:rStyle w:val="FootnoteReference"/>
        </w:rPr>
        <w:footnoteRef/>
      </w:r>
      <w:r>
        <w:t xml:space="preserve"> </w:t>
      </w:r>
      <w:r>
        <w:rPr>
          <w:lang w:val="en-US"/>
        </w:rPr>
        <w:t>Global Alliance for Clean Cookstoves (2013) Kenya Country Action Plan (CAP) p. 16</w:t>
      </w:r>
    </w:p>
  </w:footnote>
  <w:footnote w:id="3">
    <w:p w14:paraId="5E445016" w14:textId="3B08A1B1" w:rsidR="00DA2181" w:rsidRDefault="00DA2181">
      <w:pPr>
        <w:pStyle w:val="FootnoteText"/>
      </w:pPr>
      <w:r>
        <w:rPr>
          <w:rStyle w:val="FootnoteReference"/>
        </w:rPr>
        <w:footnoteRef/>
      </w:r>
      <w:r>
        <w:t xml:space="preserve"> </w:t>
      </w:r>
      <w:r>
        <w:rPr>
          <w:lang w:val="en-US"/>
        </w:rPr>
        <w:t>Global Alliance for Clean Cookstoves (2013) p. 18</w:t>
      </w:r>
    </w:p>
  </w:footnote>
  <w:footnote w:id="4">
    <w:p w14:paraId="7DC15047" w14:textId="62FB5B01" w:rsidR="00DA2181" w:rsidRDefault="00DA2181">
      <w:pPr>
        <w:pStyle w:val="FootnoteText"/>
      </w:pPr>
      <w:r>
        <w:rPr>
          <w:rStyle w:val="FootnoteReference"/>
        </w:rPr>
        <w:footnoteRef/>
      </w:r>
      <w:r>
        <w:t xml:space="preserve"> </w:t>
      </w:r>
      <w:r>
        <w:rPr>
          <w:lang w:val="en-US"/>
        </w:rPr>
        <w:t>Global Alliance for Clean Cookstoves (2013) p. 16</w:t>
      </w:r>
    </w:p>
  </w:footnote>
  <w:footnote w:id="5">
    <w:p w14:paraId="7C31B065" w14:textId="328D85D3" w:rsidR="00DA2181" w:rsidRDefault="00DA2181" w:rsidP="000668EE">
      <w:pPr>
        <w:pStyle w:val="FootnoteText"/>
      </w:pPr>
      <w:r>
        <w:rPr>
          <w:rStyle w:val="FootnoteReference"/>
        </w:rPr>
        <w:footnoteRef/>
      </w:r>
      <w:r>
        <w:t xml:space="preserve"> </w:t>
      </w:r>
      <w:r>
        <w:rPr>
          <w:lang w:val="en-US"/>
        </w:rPr>
        <w:t>Global Alliance for Clean Cookstoves (2013) p. 17</w:t>
      </w:r>
    </w:p>
  </w:footnote>
  <w:footnote w:id="6">
    <w:p w14:paraId="19491598" w14:textId="70B2DBB9" w:rsidR="00DA2181" w:rsidRDefault="00DA2181">
      <w:pPr>
        <w:pStyle w:val="FootnoteText"/>
      </w:pPr>
      <w:r>
        <w:rPr>
          <w:rStyle w:val="FootnoteReference"/>
        </w:rPr>
        <w:footnoteRef/>
      </w:r>
      <w:r>
        <w:t xml:space="preserve"> </w:t>
      </w:r>
      <w:r>
        <w:rPr>
          <w:lang w:val="en-US"/>
        </w:rPr>
        <w:t>Global Alliance for Clean Cookstoves (2013) p. 18</w:t>
      </w:r>
    </w:p>
  </w:footnote>
  <w:footnote w:id="7">
    <w:p w14:paraId="23CE2849" w14:textId="2A051E92" w:rsidR="00DA2181" w:rsidRDefault="00DA2181">
      <w:pPr>
        <w:pStyle w:val="FootnoteText"/>
      </w:pPr>
      <w:r>
        <w:rPr>
          <w:rStyle w:val="FootnoteReference"/>
        </w:rPr>
        <w:footnoteRef/>
      </w:r>
      <w:r>
        <w:t xml:space="preserve"> </w:t>
      </w:r>
      <w:r>
        <w:rPr>
          <w:lang w:val="en-US"/>
        </w:rPr>
        <w:t>Global Alliance for Clean Cookstoves (2013) p. 23</w:t>
      </w:r>
    </w:p>
  </w:footnote>
  <w:footnote w:id="8">
    <w:p w14:paraId="36EC379C" w14:textId="77777777" w:rsidR="00DA2181" w:rsidRDefault="00DA2181" w:rsidP="00D715FE">
      <w:pPr>
        <w:pStyle w:val="FootnoteText"/>
      </w:pPr>
      <w:r>
        <w:rPr>
          <w:rStyle w:val="FootnoteReference"/>
        </w:rPr>
        <w:footnoteRef/>
      </w:r>
      <w:r>
        <w:t xml:space="preserve"> Available from </w:t>
      </w:r>
      <w:hyperlink r:id="rId1" w:history="1">
        <w:r w:rsidRPr="00031F69">
          <w:rPr>
            <w:rStyle w:val="Hyperlink"/>
          </w:rPr>
          <w:t>https://www.cia.gov/library/publications/the-world-factbook/geos/ke.html</w:t>
        </w:r>
      </w:hyperlink>
      <w:r>
        <w:t xml:space="preserve"> </w:t>
      </w:r>
    </w:p>
  </w:footnote>
  <w:footnote w:id="9">
    <w:p w14:paraId="1F1E3344" w14:textId="77777777" w:rsidR="00DA2181" w:rsidRDefault="00DA2181">
      <w:pPr>
        <w:pStyle w:val="FootnoteText"/>
      </w:pPr>
      <w:r>
        <w:rPr>
          <w:rStyle w:val="FootnoteReference"/>
        </w:rPr>
        <w:footnoteRef/>
      </w:r>
      <w:r>
        <w:t xml:space="preserve"> </w:t>
      </w:r>
      <w:r>
        <w:rPr>
          <w:lang w:val="en-US"/>
        </w:rPr>
        <w:t>20160330 Biogas Course Reader.pdf</w:t>
      </w:r>
    </w:p>
  </w:footnote>
  <w:footnote w:id="10">
    <w:p w14:paraId="64A17824" w14:textId="77777777" w:rsidR="00DA2181" w:rsidRDefault="00DA2181">
      <w:pPr>
        <w:pStyle w:val="FootnoteText"/>
      </w:pPr>
      <w:r>
        <w:rPr>
          <w:rStyle w:val="FootnoteReference"/>
        </w:rPr>
        <w:footnoteRef/>
      </w:r>
      <w:r>
        <w:t xml:space="preserve"> </w:t>
      </w:r>
      <w:r>
        <w:rPr>
          <w:lang w:val="en-US"/>
        </w:rPr>
        <w:t xml:space="preserve">Please refer to the ODA declaration in Appendix 2 </w:t>
      </w:r>
    </w:p>
  </w:footnote>
  <w:footnote w:id="11">
    <w:p w14:paraId="218ADF03" w14:textId="77777777" w:rsidR="00DA2181" w:rsidRDefault="00DA2181">
      <w:pPr>
        <w:pStyle w:val="FootnoteText"/>
      </w:pPr>
      <w:r>
        <w:rPr>
          <w:rStyle w:val="FootnoteReference"/>
        </w:rPr>
        <w:footnoteRef/>
      </w:r>
      <w:r>
        <w:t xml:space="preserve"> Please see the file ‘20</w:t>
      </w:r>
      <w:r w:rsidRPr="005B445E">
        <w:t>170131 Hivos Prior Consideration Memo Kenya’ for the demonstration of prior consideration of carbon revenues for PoA GS2747 Kenya activities</w:t>
      </w:r>
    </w:p>
  </w:footnote>
  <w:footnote w:id="12">
    <w:p w14:paraId="679A3913" w14:textId="77777777" w:rsidR="00DA2181" w:rsidRDefault="00DA2181">
      <w:pPr>
        <w:pStyle w:val="FootnoteText"/>
      </w:pPr>
      <w:r>
        <w:rPr>
          <w:rStyle w:val="FootnoteReference"/>
        </w:rPr>
        <w:footnoteRef/>
      </w:r>
      <w:r>
        <w:t xml:space="preserve"> Please see the file ‘20170330 GS Confirmation Prior Consideration Kenya’ for the approval of exception to the rule update by the Gold Standard </w:t>
      </w:r>
    </w:p>
  </w:footnote>
  <w:footnote w:id="13">
    <w:p w14:paraId="228C7694" w14:textId="77777777" w:rsidR="00DA2181" w:rsidRPr="00B4630A" w:rsidRDefault="00DA2181" w:rsidP="009630FB">
      <w:pPr>
        <w:pStyle w:val="FootnoteText"/>
      </w:pPr>
      <w:r w:rsidRPr="000E1266">
        <w:rPr>
          <w:rStyle w:val="FootnoteReference"/>
        </w:rPr>
        <w:footnoteRef/>
      </w:r>
      <w:r w:rsidRPr="00B4630A">
        <w:t xml:space="preserve"> EB 54 Annex 13 </w:t>
      </w:r>
    </w:p>
  </w:footnote>
  <w:footnote w:id="14">
    <w:p w14:paraId="01ADDC18" w14:textId="77777777" w:rsidR="00DA2181" w:rsidRPr="003A25A6" w:rsidRDefault="00DA2181" w:rsidP="009630FB">
      <w:pPr>
        <w:pStyle w:val="FootnoteText"/>
      </w:pPr>
      <w:r w:rsidRPr="005E5899">
        <w:rPr>
          <w:rStyle w:val="FootnoteReference"/>
        </w:rPr>
        <w:footnoteRef/>
      </w:r>
      <w:r w:rsidRPr="005E5899">
        <w:t xml:space="preserve"> i.e. 150 kW installed capacity or 0.6 GWh annual energy savings or 0.6 ktCO</w:t>
      </w:r>
      <w:r w:rsidRPr="007B355E">
        <w:rPr>
          <w:vertAlign w:val="subscript"/>
        </w:rPr>
        <w:t>2</w:t>
      </w:r>
      <w:r w:rsidRPr="007B355E">
        <w:t xml:space="preserve">e annual emission reductions. </w:t>
      </w:r>
      <w:r w:rsidRPr="003A25A6">
        <w:t>See EB65 Report, page 25. Guidelines changed from 15kW to 150kW electrical, or 450kW thermal</w:t>
      </w:r>
    </w:p>
  </w:footnote>
  <w:footnote w:id="15">
    <w:p w14:paraId="05E12D69" w14:textId="77777777" w:rsidR="00DA2181" w:rsidRPr="00546D32" w:rsidRDefault="00DA2181" w:rsidP="00227CC3">
      <w:pPr>
        <w:pStyle w:val="FootnoteText"/>
      </w:pPr>
      <w:r>
        <w:rPr>
          <w:rStyle w:val="FootnoteReference"/>
        </w:rPr>
        <w:footnoteRef/>
      </w:r>
      <w:r>
        <w:t xml:space="preserve"> As demonstrated in section B.3. of the PoA-DD</w:t>
      </w:r>
    </w:p>
  </w:footnote>
  <w:footnote w:id="16">
    <w:p w14:paraId="2A97BA76" w14:textId="77777777" w:rsidR="00DA2181" w:rsidRPr="003342C3" w:rsidRDefault="00DA2181" w:rsidP="00555010">
      <w:pPr>
        <w:pStyle w:val="FootnoteText"/>
        <w:rPr>
          <w:lang w:val="en-US"/>
        </w:rPr>
      </w:pPr>
      <w:r>
        <w:rPr>
          <w:rStyle w:val="FootnoteReference"/>
        </w:rPr>
        <w:footnoteRef/>
      </w:r>
      <w:r w:rsidRPr="003342C3">
        <w:rPr>
          <w:lang w:val="en-US"/>
        </w:rPr>
        <w:t xml:space="preserve"> </w:t>
      </w:r>
      <w:r>
        <w:rPr>
          <w:lang w:val="en-US"/>
        </w:rPr>
        <w:t xml:space="preserve">The </w:t>
      </w:r>
      <w:r w:rsidRPr="003342C3">
        <w:rPr>
          <w:lang w:val="en-US"/>
        </w:rPr>
        <w:t>World</w:t>
      </w:r>
      <w:r>
        <w:rPr>
          <w:lang w:val="en-US"/>
        </w:rPr>
        <w:t xml:space="preserve"> </w:t>
      </w:r>
      <w:r w:rsidRPr="003342C3">
        <w:rPr>
          <w:lang w:val="en-US"/>
        </w:rPr>
        <w:t xml:space="preserve">Bank (2016) Available from </w:t>
      </w:r>
      <w:hyperlink r:id="rId2" w:history="1">
        <w:r w:rsidRPr="003342C3">
          <w:rPr>
            <w:rStyle w:val="Hyperlink"/>
            <w:lang w:val="en-US"/>
          </w:rPr>
          <w:t>https://data.worldbank.org/indicator/SP.POP.TOTL?locations=KE</w:t>
        </w:r>
      </w:hyperlink>
      <w:r w:rsidRPr="003342C3">
        <w:rPr>
          <w:lang w:val="en-US"/>
        </w:rPr>
        <w:t xml:space="preserve"> </w:t>
      </w:r>
    </w:p>
  </w:footnote>
  <w:footnote w:id="17">
    <w:p w14:paraId="19D91CDF" w14:textId="77777777" w:rsidR="00DA2181" w:rsidRDefault="00DA2181" w:rsidP="00555010">
      <w:pPr>
        <w:pStyle w:val="FootnoteText"/>
        <w:jc w:val="left"/>
      </w:pPr>
      <w:r>
        <w:rPr>
          <w:rStyle w:val="FootnoteReference"/>
        </w:rPr>
        <w:footnoteRef/>
      </w:r>
      <w:r>
        <w:t xml:space="preserve"> </w:t>
      </w:r>
      <w:r>
        <w:rPr>
          <w:lang w:val="en-US"/>
        </w:rPr>
        <w:t xml:space="preserve">The World Bank (2014) Available from </w:t>
      </w:r>
      <w:hyperlink r:id="rId3" w:history="1">
        <w:r w:rsidRPr="00D214CC">
          <w:rPr>
            <w:rStyle w:val="Hyperlink"/>
            <w:lang w:val="en-US"/>
          </w:rPr>
          <w:t>https://data.worldbank.org/indicator/EG.ELC.ACCS.ZS?end=2014&amp;start=2014&amp;view=bar</w:t>
        </w:r>
      </w:hyperlink>
      <w:r>
        <w:rPr>
          <w:lang w:val="en-US"/>
        </w:rPr>
        <w:t xml:space="preserve"> </w:t>
      </w:r>
    </w:p>
  </w:footnote>
  <w:footnote w:id="18">
    <w:p w14:paraId="393563B4" w14:textId="77777777" w:rsidR="00DA2181" w:rsidRDefault="00DA2181">
      <w:pPr>
        <w:pStyle w:val="FootnoteText"/>
      </w:pPr>
      <w:r>
        <w:rPr>
          <w:rStyle w:val="FootnoteReference"/>
        </w:rPr>
        <w:footnoteRef/>
      </w:r>
      <w:r>
        <w:t xml:space="preserve"> </w:t>
      </w:r>
      <w:r w:rsidRPr="00E246BC">
        <w:t>For more details, see the Monitoring Report for VPA1</w:t>
      </w:r>
    </w:p>
  </w:footnote>
  <w:footnote w:id="19">
    <w:p w14:paraId="503EB390" w14:textId="77777777" w:rsidR="00DA2181" w:rsidRDefault="00DA2181">
      <w:pPr>
        <w:pStyle w:val="FootnoteText"/>
      </w:pPr>
      <w:r>
        <w:rPr>
          <w:rStyle w:val="FootnoteReference"/>
        </w:rPr>
        <w:footnoteRef/>
      </w:r>
      <w:r>
        <w:t xml:space="preserve"> See survey results from ‘</w:t>
      </w:r>
      <w:r w:rsidRPr="00E246BC">
        <w:t>ABC VPA1 KE MP2 Surveys + Analysis</w:t>
      </w:r>
      <w:r>
        <w:t>’</w:t>
      </w:r>
      <w:r w:rsidRPr="00E246BC">
        <w:t xml:space="preserve">, Sheet </w:t>
      </w:r>
      <w:r>
        <w:t>‘Analysis A’</w:t>
      </w:r>
    </w:p>
  </w:footnote>
  <w:footnote w:id="20">
    <w:p w14:paraId="107B8244" w14:textId="77777777" w:rsidR="00DA2181" w:rsidRDefault="00DA2181" w:rsidP="00050A04">
      <w:pPr>
        <w:pStyle w:val="FootnoteText"/>
      </w:pPr>
      <w:r>
        <w:rPr>
          <w:rStyle w:val="FootnoteReference"/>
        </w:rPr>
        <w:footnoteRef/>
      </w:r>
      <w:r>
        <w:t xml:space="preserve"> </w:t>
      </w:r>
      <w:r w:rsidRPr="004A1413">
        <w:rPr>
          <w:lang w:val="en-US"/>
        </w:rPr>
        <w:t>Further details in the supporting excel sheet, ‘Grubb’s test’ sheets.</w:t>
      </w:r>
    </w:p>
  </w:footnote>
  <w:footnote w:id="21">
    <w:p w14:paraId="6D413435" w14:textId="77777777" w:rsidR="00DA2181" w:rsidRDefault="00DA2181" w:rsidP="00BD0DCB">
      <w:pPr>
        <w:pStyle w:val="FootnoteText"/>
      </w:pPr>
      <w:r>
        <w:rPr>
          <w:rStyle w:val="FootnoteReference"/>
        </w:rPr>
        <w:footnoteRef/>
      </w:r>
      <w:r>
        <w:t xml:space="preserve"> United Nations World Food Programme (2010) Safe Access to Firewood and Alternative Energy in Kenya: An Appraisal Report (pg 21), World Bank; and Africa Renewable Energy Access Program (AFREA) (2011) Wood-Based Biomass Energy Development for Sub-Saharan Africa (Section 3.2.2, pg 21); and Njenga, M. et al (2014) Additional cooking fuel supply and reduced global warming potential from recycling charcoal dust into charcoal briquette in Kenya, Journal of Cleaner Production (pg 81, pg 82); and International Network for Sustainable Energy (INFORSE) (2011) Case: Kenya Afforestation for Charcoal [online] Available from: </w:t>
      </w:r>
      <w:hyperlink r:id="rId4" w:history="1">
        <w:r w:rsidRPr="00C622D5">
          <w:rPr>
            <w:rStyle w:val="Hyperlink"/>
          </w:rPr>
          <w:t>http://www.inforse.org/Case/Case-Kenya-Afforestation.php3</w:t>
        </w:r>
      </w:hyperlink>
      <w:r>
        <w:t xml:space="preserve">  </w:t>
      </w:r>
    </w:p>
    <w:p w14:paraId="797CB65C" w14:textId="77777777" w:rsidR="00DA2181" w:rsidRDefault="00DA2181" w:rsidP="00BD0DCB">
      <w:pPr>
        <w:pStyle w:val="FootnoteText"/>
      </w:pPr>
    </w:p>
  </w:footnote>
  <w:footnote w:id="22">
    <w:p w14:paraId="2607602C" w14:textId="72DBC460" w:rsidR="008341EA" w:rsidRDefault="008341EA">
      <w:pPr>
        <w:pStyle w:val="FootnoteText"/>
      </w:pPr>
      <w:r>
        <w:rPr>
          <w:rStyle w:val="FootnoteReference"/>
        </w:rPr>
        <w:footnoteRef/>
      </w:r>
      <w:r>
        <w:t xml:space="preserve"> </w:t>
      </w:r>
      <w:r>
        <w:t xml:space="preserve">Please see </w:t>
      </w:r>
      <w:hyperlink r:id="rId5" w:history="1">
        <w:r w:rsidRPr="00280A84">
          <w:rPr>
            <w:rStyle w:val="Hyperlink"/>
          </w:rPr>
          <w:t>Table type stainless steel single burner gas stove</w:t>
        </w:r>
      </w:hyperlink>
      <w:r>
        <w:t xml:space="preserve"> for more information   </w:t>
      </w:r>
    </w:p>
  </w:footnote>
  <w:footnote w:id="23">
    <w:p w14:paraId="1E005A66" w14:textId="77777777" w:rsidR="008341EA" w:rsidRDefault="008341EA">
      <w:pPr>
        <w:pStyle w:val="FootnoteText"/>
      </w:pPr>
      <w:r>
        <w:rPr>
          <w:rStyle w:val="FootnoteReference"/>
        </w:rPr>
        <w:footnoteRef/>
      </w:r>
      <w:r>
        <w:t xml:space="preserve"> Please see </w:t>
      </w:r>
      <w:hyperlink r:id="rId6" w:history="1">
        <w:r w:rsidRPr="00280A84">
          <w:rPr>
            <w:rStyle w:val="Hyperlink"/>
          </w:rPr>
          <w:t>Table type stainless steel single burner gas stove</w:t>
        </w:r>
      </w:hyperlink>
      <w:r>
        <w:t xml:space="preserve"> for more information   </w:t>
      </w:r>
    </w:p>
  </w:footnote>
  <w:footnote w:id="24">
    <w:p w14:paraId="19C9EDFA" w14:textId="77777777" w:rsidR="00DA2181" w:rsidRDefault="00DA2181" w:rsidP="001E0142">
      <w:pPr>
        <w:pStyle w:val="FootnoteText"/>
        <w:numPr>
          <w:ilvl w:val="0"/>
          <w:numId w:val="37"/>
        </w:numPr>
        <w:spacing w:before="0"/>
        <w:rPr>
          <w:lang w:val="en-US"/>
        </w:rPr>
      </w:pPr>
      <w:r>
        <w:rPr>
          <w:rStyle w:val="FootnoteReference"/>
        </w:rPr>
        <w:footnoteRef/>
      </w:r>
      <w:r>
        <w:t xml:space="preserve"> Technologies and practices to displace decentralized thermal energy – 11/04/2011’ p.11 - 12</w:t>
      </w:r>
    </w:p>
  </w:footnote>
  <w:footnote w:id="25">
    <w:p w14:paraId="72BB5859" w14:textId="77777777" w:rsidR="00DA2181" w:rsidRDefault="00DA2181" w:rsidP="001E0142">
      <w:pPr>
        <w:pStyle w:val="FootnoteText"/>
        <w:numPr>
          <w:ilvl w:val="0"/>
          <w:numId w:val="37"/>
        </w:numPr>
      </w:pPr>
      <w:r>
        <w:rPr>
          <w:rStyle w:val="FootnoteReference"/>
        </w:rPr>
        <w:footnoteRef/>
      </w:r>
      <w:r>
        <w:t xml:space="preserve"> Chapter 10: Emissions from Livestock and Manure Management. 2006 IPCC Guidelines for National Greenhouse Gas Inventories</w:t>
      </w:r>
    </w:p>
  </w:footnote>
  <w:footnote w:id="26">
    <w:p w14:paraId="183947F2" w14:textId="77777777" w:rsidR="00DA2181" w:rsidRDefault="00DA2181" w:rsidP="00A53453">
      <w:pPr>
        <w:rPr>
          <w:lang w:val="en-US"/>
        </w:rPr>
      </w:pPr>
      <w:r>
        <w:rPr>
          <w:rStyle w:val="FootnoteReference"/>
          <w:szCs w:val="22"/>
        </w:rPr>
        <w:footnoteRef/>
      </w:r>
      <w:r>
        <w:t xml:space="preserve"> </w:t>
      </w:r>
      <w:r w:rsidRPr="00A701FD">
        <w:rPr>
          <w:sz w:val="20"/>
          <w:lang w:val="en-US"/>
        </w:rPr>
        <w:t>IPCC Guidelines for National Greenhouse Gas Inventories: Chapter 10: Emissions from Livestock and Manure Management (2006)</w:t>
      </w:r>
    </w:p>
  </w:footnote>
  <w:footnote w:id="27">
    <w:p w14:paraId="6889BAE5" w14:textId="77777777" w:rsidR="00DA2181" w:rsidRDefault="00DA2181" w:rsidP="001E0142">
      <w:pPr>
        <w:pStyle w:val="FootnoteText"/>
        <w:numPr>
          <w:ilvl w:val="0"/>
          <w:numId w:val="37"/>
        </w:numPr>
        <w:rPr>
          <w:lang w:val="en-US"/>
        </w:rPr>
      </w:pPr>
      <w:r>
        <w:rPr>
          <w:rStyle w:val="FootnoteReference"/>
        </w:rPr>
        <w:footnoteRef/>
      </w:r>
      <w:r>
        <w:t xml:space="preserve"> </w:t>
      </w:r>
      <w:r>
        <w:rPr>
          <w:lang w:val="en-US"/>
        </w:rPr>
        <w:t>Figures may not add up due to rounding – see emission reduction calculation</w:t>
      </w:r>
    </w:p>
  </w:footnote>
  <w:footnote w:id="28">
    <w:p w14:paraId="06D3D4F0" w14:textId="77777777" w:rsidR="00DA2181" w:rsidRDefault="00DA2181" w:rsidP="001E0142">
      <w:pPr>
        <w:pStyle w:val="FootnoteText"/>
        <w:numPr>
          <w:ilvl w:val="0"/>
          <w:numId w:val="37"/>
        </w:numPr>
        <w:rPr>
          <w:lang w:val="en-US"/>
        </w:rPr>
      </w:pPr>
      <w:r>
        <w:rPr>
          <w:rStyle w:val="FootnoteReference"/>
        </w:rPr>
        <w:footnoteRef/>
      </w:r>
      <w:r>
        <w:t xml:space="preserve"> </w:t>
      </w:r>
      <w:r>
        <w:rPr>
          <w:lang w:val="en-US"/>
        </w:rPr>
        <w:t>Figures may not add up due to rounding – see emission reduction calculation</w:t>
      </w:r>
    </w:p>
  </w:footnote>
  <w:footnote w:id="29">
    <w:p w14:paraId="079CA454" w14:textId="77777777" w:rsidR="00DA2181" w:rsidRDefault="00DA2181" w:rsidP="009E2C68">
      <w:pPr>
        <w:pStyle w:val="FootnoteText"/>
        <w:numPr>
          <w:ilvl w:val="0"/>
          <w:numId w:val="37"/>
        </w:numPr>
        <w:rPr>
          <w:lang w:val="en-US"/>
        </w:rPr>
      </w:pPr>
      <w:r>
        <w:rPr>
          <w:rStyle w:val="FootnoteReference"/>
        </w:rPr>
        <w:footnoteRef/>
      </w:r>
      <w:r>
        <w:t xml:space="preserve"> </w:t>
      </w:r>
      <w:r>
        <w:rPr>
          <w:lang w:val="en-US"/>
        </w:rPr>
        <w:t>Figures may not add up due to rounding – see emission reduction calculation</w:t>
      </w:r>
    </w:p>
  </w:footnote>
  <w:footnote w:id="30">
    <w:p w14:paraId="1F58D347" w14:textId="77777777" w:rsidR="00DA2181" w:rsidRDefault="00DA2181">
      <w:pPr>
        <w:pStyle w:val="FootnoteText"/>
      </w:pPr>
      <w:r>
        <w:rPr>
          <w:rStyle w:val="FootnoteReference"/>
        </w:rPr>
        <w:footnoteRef/>
      </w:r>
      <w:r>
        <w:t xml:space="preserve"> </w:t>
      </w:r>
      <w:r>
        <w:rPr>
          <w:lang w:val="en-US"/>
        </w:rPr>
        <w:t>GACC (2013) p. 23</w:t>
      </w:r>
    </w:p>
  </w:footnote>
  <w:footnote w:id="31">
    <w:p w14:paraId="2DAE1D71" w14:textId="77777777" w:rsidR="00DA2181" w:rsidRPr="0022398E" w:rsidRDefault="00DA2181" w:rsidP="00EA1096">
      <w:pPr>
        <w:pStyle w:val="FootnoteText"/>
        <w:rPr>
          <w:lang w:val="en-US"/>
        </w:rPr>
      </w:pPr>
      <w:r>
        <w:rPr>
          <w:rStyle w:val="FootnoteReference"/>
        </w:rPr>
        <w:footnoteRef/>
      </w:r>
      <w:r>
        <w:t xml:space="preserve"> </w:t>
      </w:r>
      <w:r>
        <w:rPr>
          <w:lang w:val="en-US"/>
        </w:rPr>
        <w:t>Figures may not add up due to rounding</w:t>
      </w:r>
    </w:p>
  </w:footnote>
  <w:footnote w:id="32">
    <w:p w14:paraId="0BAC38F1" w14:textId="77777777" w:rsidR="00DA2181" w:rsidRDefault="00DA2181" w:rsidP="001E0142">
      <w:pPr>
        <w:pStyle w:val="FootnoteText"/>
        <w:numPr>
          <w:ilvl w:val="0"/>
          <w:numId w:val="37"/>
        </w:numPr>
        <w:rPr>
          <w:lang w:val="en-US" w:eastAsia="en-US"/>
        </w:rPr>
      </w:pPr>
      <w:r>
        <w:rPr>
          <w:rStyle w:val="FootnoteReference"/>
        </w:rPr>
        <w:footnoteRef/>
      </w:r>
      <w:r>
        <w:t xml:space="preserve"> </w:t>
      </w:r>
      <w:r>
        <w:rPr>
          <w:lang w:val="en-US"/>
        </w:rPr>
        <w:t>Refer to accompanying Gold Standard PoA-Passport for further details.</w:t>
      </w:r>
    </w:p>
  </w:footnote>
  <w:footnote w:id="33">
    <w:p w14:paraId="69113490" w14:textId="77777777" w:rsidR="00DA2181" w:rsidRPr="009C3EDD" w:rsidRDefault="00DA2181" w:rsidP="0093628B">
      <w:pPr>
        <w:pStyle w:val="FootnoteText"/>
      </w:pPr>
      <w:r w:rsidRPr="00C153CF">
        <w:rPr>
          <w:rFonts w:eastAsia="MS Mincho"/>
          <w:vertAlign w:val="superscript"/>
        </w:rPr>
        <w:footnoteRef/>
      </w:r>
      <w:r>
        <w:t xml:space="preserve"> CDM-EB50-A30-STAN</w:t>
      </w:r>
    </w:p>
  </w:footnote>
  <w:footnote w:id="34">
    <w:p w14:paraId="541A6F4C" w14:textId="77777777" w:rsidR="00DA2181" w:rsidRDefault="00DA2181" w:rsidP="001E0142">
      <w:pPr>
        <w:pStyle w:val="FootnoteText"/>
        <w:numPr>
          <w:ilvl w:val="0"/>
          <w:numId w:val="37"/>
        </w:numPr>
        <w:jc w:val="left"/>
      </w:pPr>
      <w:r>
        <w:rPr>
          <w:rStyle w:val="FootnoteReference"/>
        </w:rPr>
        <w:footnoteRef/>
      </w:r>
      <w:r>
        <w:t xml:space="preserve"> For more on the Grubbs’ test, please refer to </w:t>
      </w:r>
      <w:hyperlink r:id="rId7" w:history="1">
        <w:r>
          <w:rPr>
            <w:rStyle w:val="Hyperlink"/>
          </w:rPr>
          <w:t>http://www.itl.nist.gov/div898/handbook/eda/section3/eda35h1.htm</w:t>
        </w:r>
      </w:hyperlink>
      <w:r>
        <w:t xml:space="preserve">. </w:t>
      </w:r>
    </w:p>
    <w:p w14:paraId="152CA189" w14:textId="77777777" w:rsidR="00DA2181" w:rsidRDefault="00DA2181" w:rsidP="001E0142">
      <w:pPr>
        <w:pStyle w:val="FootnoteText"/>
        <w:numPr>
          <w:ilvl w:val="0"/>
          <w:numId w:val="37"/>
        </w:numPr>
        <w:jc w:val="left"/>
      </w:pPr>
      <w:r>
        <w:t xml:space="preserve">For a cross-check of the significance of the results, please refer to an online tool available on: </w:t>
      </w:r>
      <w:hyperlink r:id="rId8" w:history="1">
        <w:r>
          <w:rPr>
            <w:rStyle w:val="Hyperlink"/>
          </w:rPr>
          <w:t>http://www.graphpad.com/quickcalcs/Grubbs1.cfm</w:t>
        </w:r>
      </w:hyperlink>
      <w:r>
        <w:rPr>
          <w:color w:val="FF0000"/>
        </w:rPr>
        <w:t>.</w:t>
      </w:r>
    </w:p>
  </w:footnote>
  <w:footnote w:id="35">
    <w:p w14:paraId="6C3DBFF6" w14:textId="77777777" w:rsidR="00DA2181" w:rsidRDefault="00DA2181">
      <w:pPr>
        <w:pStyle w:val="FootnoteText"/>
      </w:pPr>
      <w:r>
        <w:rPr>
          <w:rStyle w:val="FootnoteReference"/>
        </w:rPr>
        <w:footnoteRef/>
      </w:r>
      <w:r>
        <w:t xml:space="preserve"> </w:t>
      </w:r>
      <w:r w:rsidRPr="004745B6">
        <w:t>See GS confirmation of Prior Consideration of Carbon R</w:t>
      </w:r>
      <w:r w:rsidRPr="00B4418A">
        <w:t>e</w:t>
      </w:r>
      <w:r w:rsidRPr="004745B6">
        <w:t>venues</w:t>
      </w:r>
      <w:r>
        <w:t>, 30 March 2017</w:t>
      </w:r>
    </w:p>
  </w:footnote>
  <w:footnote w:id="36">
    <w:p w14:paraId="17FA2D3E" w14:textId="77777777" w:rsidR="00DA2181" w:rsidRPr="00FE18CF" w:rsidRDefault="00DA2181" w:rsidP="006971E6">
      <w:pPr>
        <w:pStyle w:val="FootnoteText"/>
      </w:pPr>
      <w:r w:rsidRPr="00FE18CF">
        <w:rPr>
          <w:rStyle w:val="FootnoteReference"/>
        </w:rPr>
        <w:footnoteRef/>
      </w:r>
      <w:r w:rsidRPr="00FE18CF">
        <w:t xml:space="preserve"> ETC Group, Promoting Biogas Systems in Kenya, A feasibility study, Final Draft, 20 August 2007</w:t>
      </w:r>
    </w:p>
  </w:footnote>
  <w:footnote w:id="37">
    <w:p w14:paraId="73A65426" w14:textId="77777777" w:rsidR="00DA2181" w:rsidRPr="00576101" w:rsidRDefault="00DA2181" w:rsidP="00576101">
      <w:pPr>
        <w:autoSpaceDE w:val="0"/>
        <w:autoSpaceDN w:val="0"/>
        <w:adjustRightInd w:val="0"/>
        <w:jc w:val="left"/>
        <w:rPr>
          <w:rFonts w:eastAsia="MS Mincho" w:cs="Arial"/>
          <w:sz w:val="20"/>
          <w:lang w:eastAsia="nl-NL"/>
        </w:rPr>
      </w:pPr>
      <w:r>
        <w:rPr>
          <w:rStyle w:val="FootnoteReference"/>
        </w:rPr>
        <w:footnoteRef/>
      </w:r>
      <w:r>
        <w:t xml:space="preserve"> </w:t>
      </w:r>
      <w:r w:rsidRPr="00576101">
        <w:rPr>
          <w:rFonts w:ascii="ArialMT" w:eastAsia="MS Mincho" w:hAnsi="ArialMT" w:cs="ArialMT"/>
          <w:sz w:val="20"/>
          <w:lang w:eastAsia="nl-NL"/>
        </w:rPr>
        <w:t>The Gold Standard’s Annex F (V2.2) states that “</w:t>
      </w:r>
      <w:r w:rsidRPr="00576101">
        <w:rPr>
          <w:rFonts w:eastAsia="MS Mincho" w:cs="Arial"/>
          <w:sz w:val="20"/>
          <w:lang w:eastAsia="nl-NL"/>
        </w:rPr>
        <w:t>A VPA submitted for Gold Standard inclusion/registration</w:t>
      </w:r>
    </w:p>
    <w:p w14:paraId="4EF73196" w14:textId="77777777" w:rsidR="00DA2181" w:rsidRDefault="00DA2181" w:rsidP="00576101">
      <w:pPr>
        <w:autoSpaceDE w:val="0"/>
        <w:autoSpaceDN w:val="0"/>
        <w:adjustRightInd w:val="0"/>
        <w:jc w:val="left"/>
      </w:pPr>
      <w:r w:rsidRPr="00576101">
        <w:rPr>
          <w:rFonts w:eastAsia="MS Mincho" w:cs="Arial"/>
          <w:sz w:val="20"/>
          <w:lang w:eastAsia="nl-NL"/>
        </w:rPr>
        <w:t>under the regular/retroactive project cycle is potentially eligible to receive credits for realised emission</w:t>
      </w:r>
      <w:r>
        <w:rPr>
          <w:rFonts w:eastAsia="MS Mincho" w:cs="Arial"/>
          <w:sz w:val="20"/>
          <w:lang w:eastAsia="nl-NL"/>
        </w:rPr>
        <w:t xml:space="preserve"> </w:t>
      </w:r>
      <w:r w:rsidRPr="00576101">
        <w:rPr>
          <w:rFonts w:eastAsia="MS Mincho" w:cs="Arial"/>
          <w:sz w:val="20"/>
          <w:lang w:eastAsia="nl-NL"/>
        </w:rPr>
        <w:t>reductions generated prior to Gold Standard inclusion/registration for a maximum period of two years.</w:t>
      </w:r>
      <w:r w:rsidRPr="00576101">
        <w:rPr>
          <w:rFonts w:ascii="ArialMT" w:eastAsia="MS Mincho" w:hAnsi="ArialMT" w:cs="ArialMT"/>
          <w:sz w:val="20"/>
          <w:lang w:eastAsia="nl-NL"/>
        </w:rPr>
        <w:t>”</w:t>
      </w:r>
    </w:p>
  </w:footnote>
  <w:footnote w:id="38">
    <w:p w14:paraId="7C362406" w14:textId="77777777" w:rsidR="00DA2181" w:rsidRDefault="00DA2181">
      <w:pPr>
        <w:pStyle w:val="FootnoteText"/>
      </w:pPr>
      <w:r>
        <w:rPr>
          <w:rStyle w:val="FootnoteReference"/>
        </w:rPr>
        <w:footnoteRef/>
      </w:r>
      <w:r>
        <w:t xml:space="preserve"> </w:t>
      </w:r>
      <w:r w:rsidRPr="00992340">
        <w:t>See report ‘2015 LSC Report Bioslurry Kenya</w:t>
      </w:r>
      <w:r>
        <w:t>’</w:t>
      </w:r>
    </w:p>
  </w:footnote>
  <w:footnote w:id="39">
    <w:p w14:paraId="313C34E9" w14:textId="5B6D7810" w:rsidR="00537702" w:rsidRDefault="00537702">
      <w:pPr>
        <w:pStyle w:val="FootnoteText"/>
      </w:pPr>
      <w:r>
        <w:rPr>
          <w:rStyle w:val="FootnoteReference"/>
        </w:rPr>
        <w:footnoteRef/>
      </w:r>
      <w:r>
        <w:t xml:space="preserve"> </w:t>
      </w:r>
      <w:r>
        <w:rPr>
          <w:lang w:val="en-US"/>
        </w:rPr>
        <w:t>Please note that KBP has now assume the role of VPA implementer</w:t>
      </w:r>
    </w:p>
  </w:footnote>
  <w:footnote w:id="40">
    <w:p w14:paraId="0355D88D" w14:textId="3BF1A3E7" w:rsidR="00537702" w:rsidRDefault="00537702">
      <w:pPr>
        <w:pStyle w:val="FootnoteText"/>
      </w:pPr>
      <w:r>
        <w:rPr>
          <w:rStyle w:val="FootnoteReference"/>
        </w:rPr>
        <w:footnoteRef/>
      </w:r>
      <w:r>
        <w:t xml:space="preserve"> </w:t>
      </w:r>
      <w:r>
        <w:rPr>
          <w:lang w:val="en-US"/>
        </w:rPr>
        <w:t xml:space="preserve">Please note that KBP has now assumed the role of VPA implementer </w:t>
      </w:r>
    </w:p>
  </w:footnote>
  <w:footnote w:id="41">
    <w:p w14:paraId="4EF0FE69" w14:textId="334D5B47" w:rsidR="00537702" w:rsidRDefault="00537702">
      <w:pPr>
        <w:pStyle w:val="FootnoteText"/>
      </w:pPr>
      <w:r>
        <w:rPr>
          <w:rStyle w:val="FootnoteReference"/>
        </w:rPr>
        <w:footnoteRef/>
      </w:r>
      <w:r>
        <w:t xml:space="preserve"> Please note that KBP is no longer working on this </w:t>
      </w:r>
    </w:p>
  </w:footnote>
  <w:footnote w:id="42">
    <w:p w14:paraId="6BC1D14F" w14:textId="5E4F7E18" w:rsidR="00537702" w:rsidRDefault="00537702">
      <w:pPr>
        <w:pStyle w:val="FootnoteText"/>
      </w:pPr>
      <w:r>
        <w:rPr>
          <w:rStyle w:val="FootnoteReference"/>
        </w:rPr>
        <w:footnoteRef/>
      </w:r>
      <w:r>
        <w:t xml:space="preserve"> </w:t>
      </w:r>
      <w:bookmarkStart w:id="20" w:name="_Hlk505851107"/>
      <w:r>
        <w:rPr>
          <w:lang w:val="en-US"/>
        </w:rPr>
        <w:t xml:space="preserve">ACES-Biogas is not actively participating in this project anymore, Hivos has taken over this role. As such, Hivos will use carbon revenues to support affordability of the bio digesters and ensure sustainable after sales support. </w:t>
      </w:r>
      <w:bookmarkEnd w:id="20"/>
    </w:p>
  </w:footnote>
  <w:footnote w:id="43">
    <w:p w14:paraId="441106E5" w14:textId="77777777" w:rsidR="00DA2181" w:rsidRPr="005E65BF" w:rsidRDefault="00DA2181" w:rsidP="008E261E">
      <w:pPr>
        <w:pStyle w:val="FootnoteText"/>
      </w:pPr>
      <w:r>
        <w:rPr>
          <w:rStyle w:val="FootnoteReference"/>
        </w:rPr>
        <w:footnoteRef/>
      </w:r>
      <w:r>
        <w:t xml:space="preserve"> As per TOOL21</w:t>
      </w:r>
      <w:r w:rsidRPr="009C3EDD">
        <w:t xml:space="preserve"> “Demonstration of Additionality of Small-Scal</w:t>
      </w:r>
      <w:r>
        <w:t>e Project Activities” Version 10.0, EB83</w:t>
      </w:r>
      <w:r w:rsidRPr="009C3EDD">
        <w:t xml:space="preserve"> Annex </w:t>
      </w:r>
      <w:r>
        <w:t xml:space="preserve">14 </w:t>
      </w:r>
    </w:p>
  </w:footnote>
  <w:footnote w:id="44">
    <w:p w14:paraId="5C425DD3" w14:textId="77777777" w:rsidR="00DA2181" w:rsidRPr="002D4329" w:rsidRDefault="00DA2181" w:rsidP="008E261E">
      <w:pPr>
        <w:rPr>
          <w:sz w:val="20"/>
          <w:lang w:val="en-US"/>
        </w:rPr>
      </w:pPr>
      <w:r w:rsidRPr="00694D30">
        <w:rPr>
          <w:rStyle w:val="FootnoteReference"/>
          <w:sz w:val="20"/>
        </w:rPr>
        <w:footnoteRef/>
      </w:r>
      <w:r w:rsidRPr="00694D30">
        <w:rPr>
          <w:sz w:val="20"/>
        </w:rPr>
        <w:t xml:space="preserve"> </w:t>
      </w:r>
      <w:r w:rsidRPr="002D4329">
        <w:rPr>
          <w:sz w:val="20"/>
          <w:lang w:val="en-US"/>
        </w:rPr>
        <w:t>Gold Standard Toolkit, Version 2.1, Section 1.2.5.</w:t>
      </w:r>
    </w:p>
  </w:footnote>
  <w:footnote w:id="45">
    <w:p w14:paraId="7916514C" w14:textId="77777777" w:rsidR="00DA2181" w:rsidRDefault="00DA2181" w:rsidP="008E261E">
      <w:pPr>
        <w:pStyle w:val="FootnoteText"/>
      </w:pPr>
      <w:r>
        <w:rPr>
          <w:rStyle w:val="FootnoteReference"/>
        </w:rPr>
        <w:footnoteRef/>
      </w:r>
      <w:r>
        <w:t xml:space="preserve"> </w:t>
      </w:r>
      <w:r w:rsidRPr="00B677B3">
        <w:t>Type I activities are “renewable energy project activities with a maximum output capacity of 15 MW (or an appropriate equivalent)”, CDM Project Standard</w:t>
      </w:r>
      <w:r>
        <w:t xml:space="preserve"> for Programmes of Activities (version 01.0)</w:t>
      </w:r>
    </w:p>
  </w:footnote>
  <w:footnote w:id="46">
    <w:p w14:paraId="6839D528" w14:textId="77777777" w:rsidR="00DA2181" w:rsidRDefault="00DA2181" w:rsidP="008E261E">
      <w:pPr>
        <w:pStyle w:val="FootnoteText"/>
      </w:pPr>
      <w:r>
        <w:rPr>
          <w:rStyle w:val="FootnoteReference"/>
        </w:rPr>
        <w:footnoteRef/>
      </w:r>
      <w:r>
        <w:t xml:space="preserve"> Type III activities are “o</w:t>
      </w:r>
      <w:r w:rsidRPr="001B56CF">
        <w:t>ther project activities not included in Type I or Type II that result in GHG emission reductions not exceeding 60 kt CO</w:t>
      </w:r>
      <w:r w:rsidRPr="000530CB">
        <w:rPr>
          <w:vertAlign w:val="subscript"/>
        </w:rPr>
        <w:t>2</w:t>
      </w:r>
      <w:r w:rsidRPr="001B56CF">
        <w:t>e per year in an</w:t>
      </w:r>
      <w:r>
        <w:t xml:space="preserve">y year of the crediting period”, </w:t>
      </w:r>
      <w:r w:rsidRPr="00B677B3">
        <w:t>CDM Project Standard</w:t>
      </w:r>
      <w:r>
        <w:t xml:space="preserve"> for Programmes of Activities (version 01.0)</w:t>
      </w:r>
    </w:p>
  </w:footnote>
  <w:footnote w:id="47">
    <w:p w14:paraId="0DB345D0" w14:textId="77777777" w:rsidR="00DA2181" w:rsidRDefault="00DA2181">
      <w:pPr>
        <w:pStyle w:val="FootnoteText"/>
      </w:pPr>
      <w:r>
        <w:rPr>
          <w:rStyle w:val="FootnoteReference"/>
        </w:rPr>
        <w:footnoteRef/>
      </w:r>
      <w:r>
        <w:t xml:space="preserve"> </w:t>
      </w:r>
      <w:r>
        <w:rPr>
          <w:lang w:val="en-US"/>
        </w:rPr>
        <w:t>Explanation: Section B.3. of the PoA-DD indicates that the thermal capacity of the largest possible biodigester allowed under the programme (100 m</w:t>
      </w:r>
      <w:r w:rsidRPr="006918C0">
        <w:rPr>
          <w:vertAlign w:val="superscript"/>
          <w:lang w:val="en-US"/>
        </w:rPr>
        <w:t>3</w:t>
      </w:r>
      <w:r>
        <w:rPr>
          <w:lang w:val="en-US"/>
        </w:rPr>
        <w:t xml:space="preserve">) is </w:t>
      </w:r>
      <w:r>
        <w:rPr>
          <w:rFonts w:cs="Arial"/>
          <w:szCs w:val="22"/>
        </w:rPr>
        <w:t>44.77 kW</w:t>
      </w:r>
      <w:r>
        <w:rPr>
          <w:rFonts w:cs="Arial"/>
          <w:szCs w:val="22"/>
          <w:vertAlign w:val="subscript"/>
        </w:rPr>
        <w:t>th</w:t>
      </w:r>
      <w:r>
        <w:rPr>
          <w:rFonts w:cs="Arial"/>
          <w:szCs w:val="22"/>
        </w:rPr>
        <w:t xml:space="preserve">. In VPA-1, the average biodigester size is </w:t>
      </w:r>
      <w:r w:rsidRPr="009B0DC1">
        <w:t>8.</w:t>
      </w:r>
      <w:r>
        <w:t>45</w:t>
      </w:r>
      <w:r w:rsidRPr="009B0DC1">
        <w:t xml:space="preserve"> m</w:t>
      </w:r>
      <w:r w:rsidRPr="009B0DC1">
        <w:rPr>
          <w:vertAlign w:val="superscript"/>
        </w:rPr>
        <w:t>3</w:t>
      </w:r>
      <w:r>
        <w:t xml:space="preserve">, resulting in a capacity of 3.78 </w:t>
      </w:r>
      <w:r>
        <w:rPr>
          <w:rFonts w:cs="Arial"/>
          <w:szCs w:val="22"/>
        </w:rPr>
        <w:t>kW</w:t>
      </w:r>
      <w:r>
        <w:rPr>
          <w:rFonts w:cs="Arial"/>
          <w:szCs w:val="22"/>
          <w:vertAlign w:val="subscript"/>
        </w:rPr>
        <w:t>th</w:t>
      </w:r>
      <w:r>
        <w:rPr>
          <w:rFonts w:cs="Arial"/>
          <w:szCs w:val="22"/>
        </w:rPr>
        <w:t xml:space="preserve"> per unit. Given 11,578 units installed, this results in a total of 43.80 MW</w:t>
      </w:r>
      <w:r>
        <w:rPr>
          <w:rFonts w:cs="Arial"/>
          <w:szCs w:val="22"/>
          <w:vertAlign w:val="subscript"/>
        </w:rPr>
        <w:t>th</w:t>
      </w:r>
      <w:r>
        <w:rPr>
          <w:rFonts w:cs="Arial"/>
          <w:szCs w:val="22"/>
        </w:rPr>
        <w:t xml:space="preserve"> installed capacity under VPA-1. This is lower than the 45 MW</w:t>
      </w:r>
      <w:r>
        <w:rPr>
          <w:rFonts w:cs="Arial"/>
          <w:szCs w:val="22"/>
          <w:vertAlign w:val="subscript"/>
        </w:rPr>
        <w:t>th</w:t>
      </w:r>
      <w:r>
        <w:rPr>
          <w:rFonts w:cs="Arial"/>
          <w:szCs w:val="22"/>
        </w:rPr>
        <w:t xml:space="preserve"> threshold.</w:t>
      </w:r>
    </w:p>
  </w:footnote>
  <w:footnote w:id="48">
    <w:p w14:paraId="3189EDB7" w14:textId="77777777" w:rsidR="00DA2181" w:rsidRDefault="00DA2181">
      <w:pPr>
        <w:pStyle w:val="FootnoteText"/>
      </w:pPr>
      <w:r>
        <w:rPr>
          <w:rStyle w:val="FootnoteReference"/>
        </w:rPr>
        <w:footnoteRef/>
      </w:r>
      <w:r>
        <w:t xml:space="preserve"> </w:t>
      </w:r>
      <w:r>
        <w:rPr>
          <w:lang w:val="en-US"/>
        </w:rPr>
        <w:t xml:space="preserve">Explanation: Of the total annual emission </w:t>
      </w:r>
      <w:r w:rsidRPr="00E63838">
        <w:rPr>
          <w:lang w:val="en-US"/>
        </w:rPr>
        <w:t xml:space="preserve">reduction of </w:t>
      </w:r>
      <w:r>
        <w:rPr>
          <w:lang w:val="en-US"/>
        </w:rPr>
        <w:t>52,706</w:t>
      </w:r>
      <w:r w:rsidRPr="007A7120">
        <w:rPr>
          <w:lang w:val="en-US"/>
        </w:rPr>
        <w:t xml:space="preserve"> tCO</w:t>
      </w:r>
      <w:r w:rsidRPr="00B677B3">
        <w:rPr>
          <w:vertAlign w:val="subscript"/>
          <w:lang w:val="en-US"/>
        </w:rPr>
        <w:t>2</w:t>
      </w:r>
      <w:r w:rsidRPr="00E63838">
        <w:rPr>
          <w:lang w:val="en-US"/>
        </w:rPr>
        <w:t xml:space="preserve">e, </w:t>
      </w:r>
      <w:r w:rsidRPr="007F1C5C">
        <w:rPr>
          <w:lang w:val="en-US"/>
        </w:rPr>
        <w:t>only</w:t>
      </w:r>
      <w:r>
        <w:rPr>
          <w:lang w:val="en-US"/>
        </w:rPr>
        <w:t xml:space="preserve"> 2,246</w:t>
      </w:r>
      <w:r w:rsidRPr="007A7120">
        <w:rPr>
          <w:lang w:val="en-US"/>
        </w:rPr>
        <w:t xml:space="preserve"> tCO</w:t>
      </w:r>
      <w:r w:rsidRPr="00B677B3">
        <w:rPr>
          <w:vertAlign w:val="subscript"/>
          <w:lang w:val="en-US"/>
        </w:rPr>
        <w:t>2</w:t>
      </w:r>
      <w:r w:rsidRPr="00E63838">
        <w:rPr>
          <w:lang w:val="en-US"/>
        </w:rPr>
        <w:t>e</w:t>
      </w:r>
      <w:r w:rsidRPr="007F1C5C">
        <w:rPr>
          <w:lang w:val="en-US"/>
        </w:rPr>
        <w:t xml:space="preserve"> are attributed to methane avoidance (Type III) </w:t>
      </w:r>
      <w:r w:rsidRPr="007A7120">
        <w:rPr>
          <w:lang w:val="en-US"/>
        </w:rPr>
        <w:t>– 0.1</w:t>
      </w:r>
      <w:r>
        <w:rPr>
          <w:lang w:val="en-US"/>
        </w:rPr>
        <w:t>94</w:t>
      </w:r>
      <w:r w:rsidRPr="007A7120">
        <w:rPr>
          <w:lang w:val="en-US"/>
        </w:rPr>
        <w:t xml:space="preserve"> tCO</w:t>
      </w:r>
      <w:r w:rsidRPr="00B677B3">
        <w:rPr>
          <w:vertAlign w:val="subscript"/>
          <w:lang w:val="en-US"/>
        </w:rPr>
        <w:t>2</w:t>
      </w:r>
      <w:r w:rsidRPr="00E63838">
        <w:rPr>
          <w:lang w:val="en-US"/>
        </w:rPr>
        <w:t xml:space="preserve">e from TIER 2 emission reductions </w:t>
      </w:r>
      <w:r w:rsidRPr="007F1C5C">
        <w:rPr>
          <w:lang w:val="en-US"/>
        </w:rPr>
        <w:t>multiplied by 11,</w:t>
      </w:r>
      <w:r>
        <w:rPr>
          <w:lang w:val="en-US"/>
        </w:rPr>
        <w:t xml:space="preserve">578 </w:t>
      </w:r>
      <w:r w:rsidRPr="007F1C5C">
        <w:rPr>
          <w:lang w:val="en-US"/>
        </w:rPr>
        <w:t>digesters installed.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33D07" w14:textId="77777777" w:rsidR="00DA2181" w:rsidRPr="00016F59" w:rsidRDefault="00DA2181" w:rsidP="00F44319">
    <w:pPr>
      <w:pStyle w:val="SymbolForm"/>
    </w:pPr>
    <w:r w:rsidRPr="00CD75CB">
      <w:t>C</w:t>
    </w:r>
    <w:r>
      <w:t>DM-VPA-DD-FORM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EE6A" w14:textId="77777777" w:rsidR="00DA2181" w:rsidRDefault="00DA2181">
    <w:pPr>
      <w:ind w:left="-14" w:right="5" w:firstLine="14"/>
      <w:jc w:val="center"/>
      <w:rPr>
        <w:sz w:val="18"/>
      </w:rPr>
    </w:pPr>
    <w:r>
      <w:rPr>
        <w:noProof/>
        <w:lang w:val="en-US" w:eastAsia="en-US"/>
      </w:rPr>
      <w:drawing>
        <wp:anchor distT="0" distB="0" distL="114300" distR="114300" simplePos="0" relativeHeight="251658240" behindDoc="0" locked="0" layoutInCell="1" allowOverlap="1" wp14:anchorId="54D45ED0" wp14:editId="72463165">
          <wp:simplePos x="0" y="0"/>
          <wp:positionH relativeFrom="column">
            <wp:posOffset>5584825</wp:posOffset>
          </wp:positionH>
          <wp:positionV relativeFrom="paragraph">
            <wp:posOffset>-38100</wp:posOffset>
          </wp:positionV>
          <wp:extent cx="596265" cy="338455"/>
          <wp:effectExtent l="0" t="0" r="0" b="0"/>
          <wp:wrapTopAndBottom/>
          <wp:docPr id="2" name="Picture 22" descr="logo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338455"/>
                  </a:xfrm>
                  <a:prstGeom prst="rect">
                    <a:avLst/>
                  </a:prstGeom>
                  <a:noFill/>
                  <a:ln>
                    <a:noFill/>
                  </a:ln>
                </pic:spPr>
              </pic:pic>
            </a:graphicData>
          </a:graphic>
        </wp:anchor>
      </w:drawing>
    </w:r>
    <w:r>
      <w:rPr>
        <w:noProof/>
        <w:lang w:val="en-US" w:eastAsia="en-US"/>
      </w:rPr>
      <w:drawing>
        <wp:anchor distT="0" distB="0" distL="114300" distR="114300" simplePos="0" relativeHeight="251657216" behindDoc="1" locked="0" layoutInCell="0" allowOverlap="1" wp14:anchorId="09E1D5BF" wp14:editId="37D1C326">
          <wp:simplePos x="0" y="0"/>
          <wp:positionH relativeFrom="column">
            <wp:posOffset>-5080</wp:posOffset>
          </wp:positionH>
          <wp:positionV relativeFrom="paragraph">
            <wp:posOffset>0</wp:posOffset>
          </wp:positionV>
          <wp:extent cx="354330" cy="302895"/>
          <wp:effectExtent l="0" t="0" r="0" b="0"/>
          <wp:wrapTight wrapText="left">
            <wp:wrapPolygon edited="0">
              <wp:start x="0" y="0"/>
              <wp:lineTo x="0" y="20377"/>
              <wp:lineTo x="20903" y="20377"/>
              <wp:lineTo x="20903" y="0"/>
              <wp:lineTo x="0" y="0"/>
            </wp:wrapPolygon>
          </wp:wrapTight>
          <wp:docPr id="1" name="Picture 23"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330" cy="302895"/>
                  </a:xfrm>
                  <a:prstGeom prst="rect">
                    <a:avLst/>
                  </a:prstGeom>
                  <a:noFill/>
                  <a:ln>
                    <a:noFill/>
                  </a:ln>
                </pic:spPr>
              </pic:pic>
            </a:graphicData>
          </a:graphic>
        </wp:anchor>
      </w:drawing>
    </w:r>
    <w:r>
      <w:rPr>
        <w:b/>
        <w:sz w:val="18"/>
      </w:rPr>
      <w:t xml:space="preserve">UNFCCC/CCNUCC </w:t>
    </w:r>
  </w:p>
  <w:p w14:paraId="35EE2ED3" w14:textId="77777777" w:rsidR="00DA2181" w:rsidRDefault="00DA2181">
    <w:pPr>
      <w:pStyle w:val="Header"/>
      <w:pBdr>
        <w:bottom w:val="single" w:sz="4" w:space="1" w:color="auto"/>
      </w:pBdr>
    </w:pPr>
  </w:p>
  <w:p w14:paraId="0D873816" w14:textId="77777777" w:rsidR="00DA2181" w:rsidRDefault="00DA2181">
    <w:pPr>
      <w:pStyle w:val="Header"/>
      <w:rPr>
        <w:b/>
        <w:sz w:val="20"/>
      </w:rPr>
    </w:pPr>
    <w:r>
      <w:rPr>
        <w:b/>
        <w:sz w:val="20"/>
      </w:rPr>
      <w:t>CDM – Executive Board</w:t>
    </w:r>
  </w:p>
  <w:p w14:paraId="177F58E5" w14:textId="77777777" w:rsidR="00DA2181" w:rsidRDefault="00DA2181" w:rsidP="00BF21C6">
    <w:pPr>
      <w:tabs>
        <w:tab w:val="center" w:pos="5026"/>
        <w:tab w:val="right" w:pos="9365"/>
      </w:tabs>
      <w:rPr>
        <w:rFonts w:cs="Arial"/>
        <w:sz w:val="18"/>
      </w:rPr>
    </w:pPr>
    <w:r>
      <w:rPr>
        <w:b/>
        <w:color w:val="C0C0C0"/>
        <w:spacing w:val="22"/>
        <w:sz w:val="44"/>
      </w:rPr>
      <w:tab/>
    </w:r>
    <w:r>
      <w:rPr>
        <w:b/>
        <w:color w:val="C0C0C0"/>
        <w:spacing w:val="22"/>
        <w:sz w:val="44"/>
      </w:rPr>
      <w:tab/>
    </w:r>
    <w:r>
      <w:rPr>
        <w:rFonts w:cs="Arial"/>
        <w:sz w:val="18"/>
      </w:rPr>
      <w:t>EB 53</w:t>
    </w:r>
  </w:p>
  <w:p w14:paraId="0B8205D0" w14:textId="77777777" w:rsidR="00DA2181" w:rsidRDefault="00DA2181" w:rsidP="00BF21C6">
    <w:pPr>
      <w:tabs>
        <w:tab w:val="center" w:pos="5026"/>
        <w:tab w:val="right" w:pos="9365"/>
      </w:tabs>
      <w:rPr>
        <w:rFonts w:cs="Arial"/>
        <w:sz w:val="18"/>
      </w:rPr>
    </w:pPr>
    <w:r>
      <w:rPr>
        <w:rFonts w:cs="Arial"/>
        <w:sz w:val="18"/>
      </w:rPr>
      <w:tab/>
    </w:r>
    <w:r>
      <w:rPr>
        <w:rFonts w:cs="Arial"/>
        <w:sz w:val="18"/>
      </w:rPr>
      <w:tab/>
      <w:t>Proposed Agenda - Annotations</w:t>
    </w:r>
  </w:p>
  <w:p w14:paraId="1625AE05" w14:textId="77777777" w:rsidR="00DA2181" w:rsidRDefault="00DA2181" w:rsidP="00BF21C6">
    <w:pPr>
      <w:tabs>
        <w:tab w:val="center" w:pos="5026"/>
        <w:tab w:val="right" w:pos="9365"/>
      </w:tabs>
      <w:ind w:left="1418"/>
      <w:rPr>
        <w:rFonts w:cs="Arial"/>
        <w:sz w:val="18"/>
      </w:rPr>
    </w:pPr>
    <w:r>
      <w:rPr>
        <w:rFonts w:cs="Arial"/>
        <w:sz w:val="18"/>
      </w:rPr>
      <w:tab/>
    </w:r>
    <w:r>
      <w:rPr>
        <w:rFonts w:cs="Arial"/>
        <w:sz w:val="18"/>
      </w:rPr>
      <w:tab/>
      <w:t xml:space="preserve">Annex </w:t>
    </w:r>
    <w:r w:rsidRPr="00293B78">
      <w:rPr>
        <w:rFonts w:cs="Arial"/>
        <w:sz w:val="18"/>
        <w:highlight w:val="yellow"/>
      </w:rPr>
      <w:t>##</w:t>
    </w:r>
  </w:p>
  <w:p w14:paraId="3E91A4CC" w14:textId="77777777" w:rsidR="00DA2181" w:rsidRDefault="00DA2181" w:rsidP="00BF21C6">
    <w:pPr>
      <w:tabs>
        <w:tab w:val="center" w:pos="5026"/>
        <w:tab w:val="right" w:pos="9365"/>
      </w:tabs>
      <w:rPr>
        <w:rFonts w:cs="Arial"/>
        <w:sz w:val="18"/>
      </w:rPr>
    </w:pPr>
    <w:r>
      <w:tab/>
    </w:r>
    <w:r>
      <w:tab/>
    </w:r>
    <w:r>
      <w:rPr>
        <w:rFonts w:cs="Arial"/>
        <w:sz w:val="18"/>
      </w:rPr>
      <w:t xml:space="preserve">Page </w:t>
    </w:r>
    <w:r>
      <w:rPr>
        <w:rFonts w:cs="Arial"/>
        <w:sz w:val="18"/>
      </w:rPr>
      <w:fldChar w:fldCharType="begin"/>
    </w:r>
    <w:r>
      <w:rPr>
        <w:rFonts w:cs="Arial"/>
        <w:sz w:val="18"/>
      </w:rPr>
      <w:instrText xml:space="preserve"> PAGE </w:instrText>
    </w:r>
    <w:r>
      <w:rPr>
        <w:rFonts w:cs="Arial"/>
        <w:sz w:val="18"/>
      </w:rPr>
      <w:fldChar w:fldCharType="separate"/>
    </w:r>
    <w:r>
      <w:rPr>
        <w:rFonts w:cs="Arial"/>
        <w:noProof/>
        <w:sz w:val="18"/>
      </w:rPr>
      <w:t>21</w:t>
    </w:r>
    <w:r>
      <w:rPr>
        <w:rFonts w:cs="Arial"/>
        <w:sz w:val="18"/>
      </w:rPr>
      <w:fldChar w:fldCharType="end"/>
    </w:r>
  </w:p>
  <w:p w14:paraId="746BFBAD" w14:textId="77777777" w:rsidR="00DA2181" w:rsidRDefault="00DA2181">
    <w:pPr>
      <w:pStyle w:val="Header"/>
      <w:tabs>
        <w:tab w:val="center" w:pos="5026"/>
        <w:tab w:val="right" w:pos="9253"/>
      </w:tabs>
    </w:pPr>
  </w:p>
  <w:p w14:paraId="6DA30651" w14:textId="77777777" w:rsidR="00DA2181" w:rsidRDefault="00DA2181">
    <w:pPr>
      <w:pStyle w:val="Header"/>
      <w:tabs>
        <w:tab w:val="center" w:pos="5026"/>
        <w:tab w:val="right" w:pos="9253"/>
      </w:tabs>
      <w:jc w:val="center"/>
    </w:pPr>
    <w:r>
      <w:rPr>
        <w:b/>
        <w:color w:val="C0C0C0"/>
        <w:spacing w:val="22"/>
        <w:sz w:val="28"/>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4B3"/>
    <w:multiLevelType w:val="multilevel"/>
    <w:tmpl w:val="F3D6E6FA"/>
    <w:name w:val="Reg2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 w15:restartNumberingAfterBreak="0">
    <w:nsid w:val="00160B6F"/>
    <w:multiLevelType w:val="multilevel"/>
    <w:tmpl w:val="8102BE52"/>
    <w:numStyleLink w:val="SDMPDDPoASectionList"/>
  </w:abstractNum>
  <w:abstractNum w:abstractNumId="2" w15:restartNumberingAfterBreak="0">
    <w:nsid w:val="01DF7C84"/>
    <w:multiLevelType w:val="multilevel"/>
    <w:tmpl w:val="F64666FC"/>
    <w:name w:val="Reg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 w15:restartNumberingAfterBreak="0">
    <w:nsid w:val="02DB3AFC"/>
    <w:multiLevelType w:val="hybridMultilevel"/>
    <w:tmpl w:val="14380886"/>
    <w:lvl w:ilvl="0" w:tplc="311A3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F3283C"/>
    <w:multiLevelType w:val="multilevel"/>
    <w:tmpl w:val="861A3926"/>
    <w:lvl w:ilvl="0">
      <w:start w:val="1"/>
      <w:numFmt w:val="upperLetter"/>
      <w:pStyle w:val="RegFormPDDSectL1"/>
      <w:lvlText w:val="Section %1."/>
      <w:lvlJc w:val="left"/>
      <w:pPr>
        <w:tabs>
          <w:tab w:val="num" w:pos="397"/>
        </w:tabs>
        <w:ind w:left="0" w:firstLine="0"/>
      </w:pPr>
      <w:rPr>
        <w:rFonts w:hint="default"/>
        <w:caps/>
      </w:rPr>
    </w:lvl>
    <w:lvl w:ilvl="1">
      <w:start w:val="1"/>
      <w:numFmt w:val="decimal"/>
      <w:pStyle w:val="RegFormPDDSectL2"/>
      <w:lvlText w:val="%1.%2."/>
      <w:lvlJc w:val="left"/>
      <w:pPr>
        <w:tabs>
          <w:tab w:val="num" w:pos="794"/>
        </w:tabs>
        <w:ind w:left="0" w:firstLine="0"/>
      </w:pPr>
      <w:rPr>
        <w:rFonts w:hint="default"/>
      </w:rPr>
    </w:lvl>
    <w:lvl w:ilvl="2">
      <w:start w:val="1"/>
      <w:numFmt w:val="decimal"/>
      <w:pStyle w:val="RegFormPDDSectL3"/>
      <w:lvlText w:val="%1.%2.%3."/>
      <w:lvlJc w:val="left"/>
      <w:pPr>
        <w:tabs>
          <w:tab w:val="num" w:pos="1191"/>
        </w:tabs>
        <w:ind w:left="0" w:firstLine="0"/>
      </w:pPr>
      <w:rPr>
        <w:rFonts w:hint="default"/>
      </w:rPr>
    </w:lvl>
    <w:lvl w:ilvl="3">
      <w:start w:val="1"/>
      <w:numFmt w:val="decimal"/>
      <w:pStyle w:val="RegFormPDDSectL4"/>
      <w:lvlText w:val="%1.%2.%3.%4"/>
      <w:lvlJc w:val="left"/>
      <w:pPr>
        <w:tabs>
          <w:tab w:val="num" w:pos="1588"/>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06774409"/>
    <w:multiLevelType w:val="multilevel"/>
    <w:tmpl w:val="D62847B6"/>
    <w:lvl w:ilvl="0">
      <w:start w:val="1"/>
      <w:numFmt w:val="decimal"/>
      <w:pStyle w:val="RegAppendix"/>
      <w:suff w:val="space"/>
      <w:lvlText w:val="Appendix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7417693"/>
    <w:multiLevelType w:val="multilevel"/>
    <w:tmpl w:val="648A687A"/>
    <w:styleLink w:val="SDMTableBoxPara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0AAC1DEE"/>
    <w:multiLevelType w:val="multilevel"/>
    <w:tmpl w:val="EBF238F8"/>
    <w:name w:val="Reg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8" w15:restartNumberingAfterBreak="0">
    <w:nsid w:val="0BD21D4D"/>
    <w:multiLevelType w:val="multilevel"/>
    <w:tmpl w:val="81E46A44"/>
    <w:numStyleLink w:val="SDMHeadList"/>
  </w:abstractNum>
  <w:abstractNum w:abstractNumId="9" w15:restartNumberingAfterBreak="0">
    <w:nsid w:val="0F722987"/>
    <w:multiLevelType w:val="hybridMultilevel"/>
    <w:tmpl w:val="CCA20FBE"/>
    <w:lvl w:ilvl="0" w:tplc="311A30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12BA1"/>
    <w:multiLevelType w:val="multilevel"/>
    <w:tmpl w:val="45C27C68"/>
    <w:styleLink w:val="SDMFootnoteList"/>
    <w:lvl w:ilvl="0">
      <w:start w:val="1"/>
      <w:numFmt w:val="none"/>
      <w:pStyle w:val="FootnoteText"/>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FD52077"/>
    <w:multiLevelType w:val="multilevel"/>
    <w:tmpl w:val="A28EC812"/>
    <w:styleLink w:val="SDMMethEquationNrList"/>
    <w:lvl w:ilvl="0">
      <w:start w:val="1"/>
      <w:numFmt w:val="decimal"/>
      <w:pStyle w:val="SDMMethEquationNr"/>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07769B7"/>
    <w:multiLevelType w:val="multilevel"/>
    <w:tmpl w:val="087CCD52"/>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10BF2A88"/>
    <w:multiLevelType w:val="multilevel"/>
    <w:tmpl w:val="87F2B1A4"/>
    <w:name w:val="Reg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4" w15:restartNumberingAfterBreak="0">
    <w:nsid w:val="11BD30DF"/>
    <w:multiLevelType w:val="multilevel"/>
    <w:tmpl w:val="7FFA41AA"/>
    <w:lvl w:ilvl="0">
      <w:start w:val="1"/>
      <w:numFmt w:val="upperRoman"/>
      <w:pStyle w:val="RegHead1"/>
      <w:suff w:val="space"/>
      <w:lvlText w:val="%1. "/>
      <w:lvlJc w:val="center"/>
      <w:pPr>
        <w:ind w:left="0" w:firstLine="0"/>
      </w:pPr>
      <w:rPr>
        <w:rFonts w:ascii="Times New Roman Bold" w:hAnsi="Times New Roman Bold"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5" w15:restartNumberingAfterBreak="0">
    <w:nsid w:val="14233F79"/>
    <w:multiLevelType w:val="multilevel"/>
    <w:tmpl w:val="C60EC370"/>
    <w:name w:val="Reg2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6" w15:restartNumberingAfterBreak="0">
    <w:nsid w:val="14357087"/>
    <w:multiLevelType w:val="multilevel"/>
    <w:tmpl w:val="3CC81634"/>
    <w:styleLink w:val="SDMTableBoxFigureFootnoteFullPageList"/>
    <w:lvl w:ilvl="0">
      <w:start w:val="1"/>
      <w:numFmt w:val="lowerLetter"/>
      <w:pStyle w:val="SDMTableBoxFigureFootnoteFullPage"/>
      <w:lvlText w:val="(%1)"/>
      <w:lvlJc w:val="left"/>
      <w:pPr>
        <w:ind w:left="142" w:hanging="255"/>
      </w:pPr>
      <w:rPr>
        <w:rFonts w:hint="default"/>
        <w:vertAlign w:val="superscript"/>
      </w:rPr>
    </w:lvl>
    <w:lvl w:ilvl="1">
      <w:start w:val="1"/>
      <w:numFmt w:val="decimal"/>
      <w:pStyle w:val="SDMTableBoxFigureFootnoteSL1FullPage"/>
      <w:lvlText w:val="%2."/>
      <w:lvlJc w:val="left"/>
      <w:pPr>
        <w:ind w:left="454" w:hanging="312"/>
      </w:pPr>
      <w:rPr>
        <w:rFonts w:hint="default"/>
      </w:rPr>
    </w:lvl>
    <w:lvl w:ilvl="2">
      <w:start w:val="1"/>
      <w:numFmt w:val="lowerLetter"/>
      <w:pStyle w:val="SDMTableBoxFigureFootnoteSL2FullPage"/>
      <w:lvlText w:val="(%3)"/>
      <w:lvlJc w:val="left"/>
      <w:pPr>
        <w:ind w:left="851" w:hanging="397"/>
      </w:pPr>
      <w:rPr>
        <w:rFonts w:hint="default"/>
      </w:rPr>
    </w:lvl>
    <w:lvl w:ilvl="3">
      <w:start w:val="1"/>
      <w:numFmt w:val="lowerRoman"/>
      <w:pStyle w:val="SDMTableBoxFigureFootnoteSL3FullPage"/>
      <w:lvlText w:val="(%4)"/>
      <w:lvlJc w:val="left"/>
      <w:pPr>
        <w:ind w:left="1247" w:hanging="396"/>
      </w:pPr>
      <w:rPr>
        <w:rFonts w:hint="default"/>
      </w:rPr>
    </w:lvl>
    <w:lvl w:ilvl="4">
      <w:start w:val="1"/>
      <w:numFmt w:val="lowerLetter"/>
      <w:pStyle w:val="SDMTableBoxFigureFootnoteSL4FullPage"/>
      <w:lvlText w:val="%5."/>
      <w:lvlJc w:val="left"/>
      <w:pPr>
        <w:ind w:left="1588" w:hanging="341"/>
      </w:pPr>
      <w:rPr>
        <w:rFonts w:hint="default"/>
      </w:rPr>
    </w:lvl>
    <w:lvl w:ilvl="5">
      <w:start w:val="1"/>
      <w:numFmt w:val="lowerRoman"/>
      <w:pStyle w:val="SDMTableBoxFigureFootnoteSL5FullPage"/>
      <w:lvlText w:val="%6."/>
      <w:lvlJc w:val="left"/>
      <w:pPr>
        <w:ind w:left="2041" w:hanging="453"/>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145420C1"/>
    <w:multiLevelType w:val="multilevel"/>
    <w:tmpl w:val="A17458AC"/>
    <w:name w:val="Reg1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8" w15:restartNumberingAfterBreak="0">
    <w:nsid w:val="155523F4"/>
    <w:multiLevelType w:val="multilevel"/>
    <w:tmpl w:val="A6C8D0E2"/>
    <w:name w:val="Reg30"/>
    <w:lvl w:ilvl="0">
      <w:start w:val="1"/>
      <w:numFmt w:val="upperRoman"/>
      <w:suff w:val="space"/>
      <w:lvlText w:val="%1. "/>
      <w:lvlJc w:val="center"/>
      <w:pPr>
        <w:ind w:left="0" w:firstLine="0"/>
      </w:pPr>
      <w:rPr>
        <w:rFonts w:ascii="Times New Roman" w:hAnsi="Times New Roman" w:hint="default"/>
        <w:b/>
        <w:i w:val="0"/>
        <w:sz w:val="22"/>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9" w15:restartNumberingAfterBreak="0">
    <w:nsid w:val="15B44D7C"/>
    <w:multiLevelType w:val="multilevel"/>
    <w:tmpl w:val="A28EC812"/>
    <w:styleLink w:val="SDMMethEquationNumberingList"/>
    <w:lvl w:ilvl="0">
      <w:start w:val="1"/>
      <w:numFmt w:val="decimal"/>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5EB1E20"/>
    <w:multiLevelType w:val="multilevel"/>
    <w:tmpl w:val="4F9ED6BC"/>
    <w:styleLink w:val="SDMCovNoteHeadList"/>
    <w:lvl w:ilvl="0">
      <w:start w:val="1"/>
      <w:numFmt w:val="decimal"/>
      <w:pStyle w:val="SDMCovNoteHead1"/>
      <w:lvlText w:val="%1."/>
      <w:lvlJc w:val="left"/>
      <w:pPr>
        <w:tabs>
          <w:tab w:val="num" w:pos="709"/>
        </w:tabs>
        <w:ind w:left="709" w:hanging="709"/>
      </w:pPr>
      <w:rPr>
        <w:rFonts w:hint="default"/>
      </w:rPr>
    </w:lvl>
    <w:lvl w:ilvl="1">
      <w:start w:val="1"/>
      <w:numFmt w:val="decimal"/>
      <w:pStyle w:val="SDMCovNoteHead2"/>
      <w:lvlText w:val="%1.%2."/>
      <w:lvlJc w:val="left"/>
      <w:pPr>
        <w:tabs>
          <w:tab w:val="num" w:pos="709"/>
        </w:tabs>
        <w:ind w:left="794" w:hanging="794"/>
      </w:pPr>
      <w:rPr>
        <w:rFonts w:hint="default"/>
      </w:rPr>
    </w:lvl>
    <w:lvl w:ilvl="2">
      <w:start w:val="1"/>
      <w:numFmt w:val="decimal"/>
      <w:pStyle w:val="SDMCovNoteHead3"/>
      <w:lvlText w:val="%1.%2.%3."/>
      <w:lvlJc w:val="left"/>
      <w:pPr>
        <w:tabs>
          <w:tab w:val="num" w:pos="709"/>
        </w:tabs>
        <w:ind w:left="1191" w:hanging="119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62C4AFF"/>
    <w:multiLevelType w:val="multilevel"/>
    <w:tmpl w:val="4F9ED6BC"/>
    <w:numStyleLink w:val="SDMCovNoteHeadList"/>
  </w:abstractNum>
  <w:abstractNum w:abstractNumId="22" w15:restartNumberingAfterBreak="0">
    <w:nsid w:val="16404ED9"/>
    <w:multiLevelType w:val="multilevel"/>
    <w:tmpl w:val="3CC81634"/>
    <w:numStyleLink w:val="SDMTableBoxFigureFootnoteFullPageList"/>
  </w:abstractNum>
  <w:abstractNum w:abstractNumId="23" w15:restartNumberingAfterBreak="0">
    <w:nsid w:val="1650370D"/>
    <w:multiLevelType w:val="multilevel"/>
    <w:tmpl w:val="9AEA799A"/>
    <w:lvl w:ilvl="0">
      <w:start w:val="1"/>
      <w:numFmt w:val="upperRoman"/>
      <w:suff w:val="space"/>
      <w:lvlText w:val="%1. "/>
      <w:lvlJc w:val="right"/>
      <w:pPr>
        <w:ind w:left="0" w:firstLine="244"/>
      </w:pPr>
      <w:rPr>
        <w:rFonts w:hint="default"/>
        <w:sz w:val="28"/>
      </w:rPr>
    </w:lvl>
    <w:lvl w:ilvl="1">
      <w:start w:val="1"/>
      <w:numFmt w:val="decimal"/>
      <w:pStyle w:val="AnnoHead2"/>
      <w:suff w:val="space"/>
      <w:lvlText w:val="%2. "/>
      <w:lvlJc w:val="left"/>
      <w:pPr>
        <w:ind w:left="0" w:firstLine="0"/>
      </w:pPr>
      <w:rPr>
        <w:rFonts w:hint="default"/>
        <w:b/>
        <w:sz w:val="22"/>
        <w:u w:val="none"/>
      </w:rPr>
    </w:lvl>
    <w:lvl w:ilvl="2">
      <w:start w:val="1"/>
      <w:numFmt w:val="lowerLetter"/>
      <w:pStyle w:val="AnnoHead3"/>
      <w:lvlText w:val="(%3)"/>
      <w:lvlJc w:val="left"/>
      <w:pPr>
        <w:tabs>
          <w:tab w:val="num" w:pos="720"/>
        </w:tabs>
        <w:ind w:left="720" w:hanging="720"/>
      </w:pPr>
      <w:rPr>
        <w:rFonts w:ascii="Times New Roman" w:hAnsi="Times New Roman" w:hint="default"/>
        <w:b w:val="0"/>
        <w:sz w:val="22"/>
        <w:u w:val="none"/>
      </w:rPr>
    </w:lvl>
    <w:lvl w:ilvl="3">
      <w:start w:val="1"/>
      <w:numFmt w:val="lowerRoman"/>
      <w:lvlText w:val="(%4)"/>
      <w:lvlJc w:val="right"/>
      <w:pPr>
        <w:tabs>
          <w:tab w:val="num" w:pos="1440"/>
        </w:tabs>
        <w:ind w:left="1440" w:hanging="533"/>
      </w:pPr>
      <w:rPr>
        <w:rFonts w:ascii="Times New Roman" w:hAnsi="Times New Roman" w:hint="default"/>
        <w:b w:val="0"/>
        <w:sz w:val="22"/>
        <w:u w:val="none"/>
      </w:rPr>
    </w:lvl>
    <w:lvl w:ilvl="4">
      <w:start w:val="1"/>
      <w:numFmt w:val="decimal"/>
      <w:pStyle w:val="AnnoPara"/>
      <w:lvlText w:val="%5."/>
      <w:lvlJc w:val="left"/>
      <w:pPr>
        <w:tabs>
          <w:tab w:val="num" w:pos="644"/>
        </w:tabs>
        <w:ind w:left="284" w:firstLine="0"/>
      </w:pPr>
      <w:rPr>
        <w:rFonts w:ascii="Times New Roman" w:hAnsi="Times New Roman" w:hint="default"/>
        <w:b w:val="0"/>
        <w:sz w:val="22"/>
        <w:u w:val="none"/>
      </w:rPr>
    </w:lvl>
    <w:lvl w:ilvl="5">
      <w:start w:val="1"/>
      <w:numFmt w:val="lowerLetter"/>
      <w:lvlText w:val="(%6)"/>
      <w:lvlJc w:val="left"/>
      <w:pPr>
        <w:tabs>
          <w:tab w:val="num" w:pos="1440"/>
        </w:tabs>
        <w:ind w:left="1440" w:hanging="720"/>
      </w:pPr>
      <w:rPr>
        <w:rFonts w:hint="default"/>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rFonts w:hint="default"/>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24" w15:restartNumberingAfterBreak="0">
    <w:nsid w:val="16EF743B"/>
    <w:multiLevelType w:val="hybridMultilevel"/>
    <w:tmpl w:val="B5FE7DA6"/>
    <w:lvl w:ilvl="0" w:tplc="311A3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728147F"/>
    <w:multiLevelType w:val="multilevel"/>
    <w:tmpl w:val="7B8621E0"/>
    <w:name w:val="Reg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26" w15:restartNumberingAfterBreak="0">
    <w:nsid w:val="17787CF3"/>
    <w:multiLevelType w:val="hybridMultilevel"/>
    <w:tmpl w:val="A9B04B30"/>
    <w:lvl w:ilvl="0" w:tplc="0413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332414"/>
    <w:multiLevelType w:val="hybridMultilevel"/>
    <w:tmpl w:val="9FEA7F22"/>
    <w:lvl w:ilvl="0" w:tplc="311A30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9" w15:restartNumberingAfterBreak="0">
    <w:nsid w:val="1A416448"/>
    <w:multiLevelType w:val="multilevel"/>
    <w:tmpl w:val="A28EC812"/>
    <w:numStyleLink w:val="SDMMethEquationNrList"/>
  </w:abstractNum>
  <w:abstractNum w:abstractNumId="30"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AFF55CC"/>
    <w:multiLevelType w:val="multilevel"/>
    <w:tmpl w:val="A22614FA"/>
    <w:name w:val="Reg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2" w15:restartNumberingAfterBreak="0">
    <w:nsid w:val="1B897AAA"/>
    <w:multiLevelType w:val="multilevel"/>
    <w:tmpl w:val="FD2ACF66"/>
    <w:name w:val="Reg2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3" w15:restartNumberingAfterBreak="0">
    <w:nsid w:val="1BB5186F"/>
    <w:multiLevelType w:val="multilevel"/>
    <w:tmpl w:val="C182385A"/>
    <w:styleLink w:val="SDMAppHeadList"/>
    <w:lvl w:ilvl="0">
      <w:start w:val="1"/>
      <w:numFmt w:val="decimal"/>
      <w:pStyle w:val="SDMAppTitle"/>
      <w:lvlText w:val="Appendix %1."/>
      <w:lvlJc w:val="left"/>
      <w:pPr>
        <w:ind w:left="2126" w:hanging="2126"/>
      </w:pPr>
      <w:rPr>
        <w:rFonts w:hint="default"/>
      </w:rPr>
    </w:lvl>
    <w:lvl w:ilvl="1">
      <w:start w:val="1"/>
      <w:numFmt w:val="decimal"/>
      <w:lvlText w:val="%2."/>
      <w:lvlJc w:val="left"/>
      <w:pPr>
        <w:tabs>
          <w:tab w:val="num" w:pos="709"/>
        </w:tabs>
        <w:ind w:left="680" w:hanging="680"/>
      </w:pPr>
      <w:rPr>
        <w:rFonts w:hint="default"/>
      </w:rPr>
    </w:lvl>
    <w:lvl w:ilvl="2">
      <w:start w:val="1"/>
      <w:numFmt w:val="decimal"/>
      <w:pStyle w:val="SDMApp2"/>
      <w:lvlText w:val="%2.%3."/>
      <w:lvlJc w:val="left"/>
      <w:pPr>
        <w:tabs>
          <w:tab w:val="num" w:pos="709"/>
        </w:tabs>
        <w:ind w:left="851" w:hanging="851"/>
      </w:pPr>
      <w:rPr>
        <w:rFonts w:hint="default"/>
      </w:rPr>
    </w:lvl>
    <w:lvl w:ilvl="3">
      <w:start w:val="1"/>
      <w:numFmt w:val="decimal"/>
      <w:pStyle w:val="SDMApp3"/>
      <w:lvlText w:val="%2.%3.%4."/>
      <w:lvlJc w:val="left"/>
      <w:pPr>
        <w:tabs>
          <w:tab w:val="num" w:pos="709"/>
        </w:tabs>
        <w:ind w:left="1191" w:hanging="1191"/>
      </w:pPr>
      <w:rPr>
        <w:rFonts w:hint="default"/>
      </w:rPr>
    </w:lvl>
    <w:lvl w:ilvl="4">
      <w:start w:val="1"/>
      <w:numFmt w:val="decimal"/>
      <w:pStyle w:val="SDMApp4"/>
      <w:lvlText w:val="%2.%3.%4.%5."/>
      <w:lvlJc w:val="left"/>
      <w:pPr>
        <w:tabs>
          <w:tab w:val="num" w:pos="1418"/>
        </w:tabs>
        <w:ind w:left="1588" w:hanging="1588"/>
      </w:pPr>
      <w:rPr>
        <w:rFonts w:hint="default"/>
      </w:rPr>
    </w:lvl>
    <w:lvl w:ilvl="5">
      <w:start w:val="1"/>
      <w:numFmt w:val="decimal"/>
      <w:pStyle w:val="SDMApp5"/>
      <w:lvlText w:val="%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1BC515BF"/>
    <w:multiLevelType w:val="multilevel"/>
    <w:tmpl w:val="02D64298"/>
    <w:name w:val="Reg3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5" w15:restartNumberingAfterBreak="0">
    <w:nsid w:val="1C0F1010"/>
    <w:multiLevelType w:val="hybridMultilevel"/>
    <w:tmpl w:val="09F20D4E"/>
    <w:lvl w:ilvl="0" w:tplc="675A70B4">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0B44A9E"/>
    <w:multiLevelType w:val="multilevel"/>
    <w:tmpl w:val="AEA6BDB0"/>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37" w15:restartNumberingAfterBreak="0">
    <w:nsid w:val="21364769"/>
    <w:multiLevelType w:val="multilevel"/>
    <w:tmpl w:val="C172A2B4"/>
    <w:name w:val="Reg2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8" w15:restartNumberingAfterBreak="0">
    <w:nsid w:val="21893583"/>
    <w:multiLevelType w:val="hybridMultilevel"/>
    <w:tmpl w:val="22D2205A"/>
    <w:lvl w:ilvl="0" w:tplc="311A30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1B70EA7"/>
    <w:multiLevelType w:val="hybridMultilevel"/>
    <w:tmpl w:val="536A9C5C"/>
    <w:lvl w:ilvl="0" w:tplc="311A30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6566C45"/>
    <w:multiLevelType w:val="multilevel"/>
    <w:tmpl w:val="4858EB8E"/>
    <w:numStyleLink w:val="SDMTableBoxFigureFootnoteList"/>
  </w:abstractNum>
  <w:abstractNum w:abstractNumId="41" w15:restartNumberingAfterBreak="0">
    <w:nsid w:val="280343E4"/>
    <w:multiLevelType w:val="hybridMultilevel"/>
    <w:tmpl w:val="7C424D2E"/>
    <w:lvl w:ilvl="0" w:tplc="311A30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B2037D9"/>
    <w:multiLevelType w:val="multilevel"/>
    <w:tmpl w:val="C182385A"/>
    <w:numStyleLink w:val="SDMAppHeadList"/>
  </w:abstractNum>
  <w:abstractNum w:abstractNumId="43" w15:restartNumberingAfterBreak="0">
    <w:nsid w:val="2D6E1A00"/>
    <w:multiLevelType w:val="multilevel"/>
    <w:tmpl w:val="568476D8"/>
    <w:name w:val="Reg"/>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44" w15:restartNumberingAfterBreak="0">
    <w:nsid w:val="2FA03A21"/>
    <w:multiLevelType w:val="multilevel"/>
    <w:tmpl w:val="40EAA4EC"/>
    <w:name w:val="Reg3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5" w15:restartNumberingAfterBreak="0">
    <w:nsid w:val="307B1BD9"/>
    <w:multiLevelType w:val="multilevel"/>
    <w:tmpl w:val="075A6334"/>
    <w:name w:val="Reg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6" w15:restartNumberingAfterBreak="0">
    <w:nsid w:val="318031D1"/>
    <w:multiLevelType w:val="multilevel"/>
    <w:tmpl w:val="E2A427E0"/>
    <w:name w:val="Toc13"/>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47" w15:restartNumberingAfterBreak="0">
    <w:nsid w:val="31A3680B"/>
    <w:multiLevelType w:val="multilevel"/>
    <w:tmpl w:val="DEEC8B6A"/>
    <w:name w:val="Reg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8" w15:restartNumberingAfterBreak="0">
    <w:nsid w:val="346306EC"/>
    <w:multiLevelType w:val="hybridMultilevel"/>
    <w:tmpl w:val="5B60D52A"/>
    <w:lvl w:ilvl="0" w:tplc="E63E7B2C">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36924865"/>
    <w:multiLevelType w:val="multilevel"/>
    <w:tmpl w:val="AE6881FE"/>
    <w:name w:val="Reg2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1" w15:restartNumberingAfterBreak="0">
    <w:nsid w:val="3B0B4EBC"/>
    <w:multiLevelType w:val="singleLevel"/>
    <w:tmpl w:val="07C0D196"/>
    <w:lvl w:ilvl="0">
      <w:start w:val="1"/>
      <w:numFmt w:val="upperLetter"/>
      <w:pStyle w:val="TOCA"/>
      <w:lvlText w:val="%1."/>
      <w:lvlJc w:val="left"/>
      <w:pPr>
        <w:tabs>
          <w:tab w:val="num" w:pos="1418"/>
        </w:tabs>
        <w:ind w:left="1418" w:hanging="698"/>
      </w:pPr>
      <w:rPr>
        <w:rFonts w:ascii="Times New Roman" w:hAnsi="Times New Roman" w:hint="default"/>
        <w:b w:val="0"/>
        <w:i w:val="0"/>
        <w:caps w:val="0"/>
        <w:strike w:val="0"/>
        <w:dstrike w:val="0"/>
        <w:vanish w:val="0"/>
        <w:color w:val="000000"/>
        <w:sz w:val="24"/>
        <w:vertAlign w:val="baseline"/>
      </w:rPr>
    </w:lvl>
  </w:abstractNum>
  <w:abstractNum w:abstractNumId="52" w15:restartNumberingAfterBreak="0">
    <w:nsid w:val="3C792321"/>
    <w:multiLevelType w:val="multilevel"/>
    <w:tmpl w:val="54D600CE"/>
    <w:name w:val="Reg2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3" w15:restartNumberingAfterBreak="0">
    <w:nsid w:val="3CFD042E"/>
    <w:multiLevelType w:val="multilevel"/>
    <w:tmpl w:val="C694A2DA"/>
    <w:name w:val="Reg1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4" w15:restartNumberingAfterBreak="0">
    <w:nsid w:val="3DC16119"/>
    <w:multiLevelType w:val="multilevel"/>
    <w:tmpl w:val="BCBAC81C"/>
    <w:name w:val="Reg1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5" w15:restartNumberingAfterBreak="0">
    <w:nsid w:val="3FDA42F1"/>
    <w:multiLevelType w:val="multilevel"/>
    <w:tmpl w:val="AE709A9A"/>
    <w:name w:val="Reg1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6" w15:restartNumberingAfterBreak="0">
    <w:nsid w:val="41EA725F"/>
    <w:multiLevelType w:val="multilevel"/>
    <w:tmpl w:val="8102BE52"/>
    <w:styleLink w:val="SDMPDDPoASectionList"/>
    <w:lvl w:ilvl="0">
      <w:start w:val="1"/>
      <w:numFmt w:val="upperLetter"/>
      <w:lvlText w:val="SECTION %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1.%2.%3"/>
      <w:lvlJc w:val="left"/>
      <w:pPr>
        <w:ind w:left="709" w:hanging="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306A99"/>
    <w:multiLevelType w:val="hybridMultilevel"/>
    <w:tmpl w:val="B3A67CA6"/>
    <w:lvl w:ilvl="0" w:tplc="0413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26909D2"/>
    <w:multiLevelType w:val="hybridMultilevel"/>
    <w:tmpl w:val="D3807906"/>
    <w:lvl w:ilvl="0" w:tplc="311A3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28120B6"/>
    <w:multiLevelType w:val="multilevel"/>
    <w:tmpl w:val="23DC3AAA"/>
    <w:name w:val="Reg32"/>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60" w15:restartNumberingAfterBreak="0">
    <w:nsid w:val="42C966C7"/>
    <w:multiLevelType w:val="multilevel"/>
    <w:tmpl w:val="07DCDBF2"/>
    <w:lvl w:ilvl="0">
      <w:start w:val="1"/>
      <w:numFmt w:val="decimal"/>
      <w:pStyle w:val="DecPara"/>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1" w15:restartNumberingAfterBreak="0">
    <w:nsid w:val="44F65239"/>
    <w:multiLevelType w:val="hybridMultilevel"/>
    <w:tmpl w:val="2124CE2C"/>
    <w:lvl w:ilvl="0" w:tplc="311A30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5C12E93"/>
    <w:multiLevelType w:val="hybridMultilevel"/>
    <w:tmpl w:val="F0C6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E052B9"/>
    <w:multiLevelType w:val="multilevel"/>
    <w:tmpl w:val="BAB8CCD8"/>
    <w:name w:val="Dec"/>
    <w:lvl w:ilvl="0">
      <w:start w:val="1"/>
      <w:numFmt w:val="upperRoman"/>
      <w:pStyle w:val="ProvHead1"/>
      <w:suff w:val="space"/>
      <w:lvlText w:val="%1. "/>
      <w:lvlJc w:val="right"/>
      <w:pPr>
        <w:ind w:left="0" w:firstLine="0"/>
      </w:pPr>
      <w:rPr>
        <w:rFonts w:hint="default"/>
        <w:sz w:val="24"/>
        <w:szCs w:val="24"/>
      </w:rPr>
    </w:lvl>
    <w:lvl w:ilvl="1">
      <w:start w:val="1"/>
      <w:numFmt w:val="decimal"/>
      <w:pStyle w:val="ProvHead2"/>
      <w:suff w:val="space"/>
      <w:lvlText w:val="%2. "/>
      <w:lvlJc w:val="left"/>
      <w:pPr>
        <w:ind w:left="0" w:firstLine="0"/>
      </w:pPr>
      <w:rPr>
        <w:rFonts w:hint="default"/>
        <w:u w:val="none"/>
      </w:rPr>
    </w:lvl>
    <w:lvl w:ilvl="2">
      <w:start w:val="1"/>
      <w:numFmt w:val="lowerLetter"/>
      <w:pStyle w:val="ProvHead3"/>
      <w:lvlText w:val="(%3)"/>
      <w:lvlJc w:val="left"/>
      <w:pPr>
        <w:tabs>
          <w:tab w:val="num" w:pos="360"/>
        </w:tabs>
        <w:ind w:left="0" w:firstLine="0"/>
      </w:pPr>
      <w:rPr>
        <w:rFonts w:hint="default"/>
        <w:b w:val="0"/>
        <w:i w:val="0"/>
        <w:u w:val="none"/>
      </w:rPr>
    </w:lvl>
    <w:lvl w:ilvl="3">
      <w:start w:val="1"/>
      <w:numFmt w:val="lowerRoman"/>
      <w:pStyle w:val="ProvPara"/>
      <w:lvlText w:val="(%4)"/>
      <w:lvlJc w:val="right"/>
      <w:pPr>
        <w:tabs>
          <w:tab w:val="num" w:pos="1440"/>
        </w:tabs>
        <w:ind w:left="1440" w:hanging="533"/>
      </w:pPr>
      <w:rPr>
        <w:rFonts w:ascii="Times New Roman" w:hAnsi="Times New Roman" w:hint="default"/>
        <w:b w:val="0"/>
      </w:rPr>
    </w:lvl>
    <w:lvl w:ilvl="4">
      <w:start w:val="1"/>
      <w:numFmt w:val="decimal"/>
      <w:lvlRestart w:val="0"/>
      <w:lvlText w:val="%5."/>
      <w:lvlJc w:val="left"/>
      <w:pPr>
        <w:tabs>
          <w:tab w:val="num" w:pos="720"/>
        </w:tabs>
        <w:ind w:left="0" w:firstLine="0"/>
      </w:pPr>
      <w:rPr>
        <w:rFonts w:ascii="Times New Roman" w:hAnsi="Times New Roman" w:hint="default"/>
      </w:rPr>
    </w:lvl>
    <w:lvl w:ilvl="5">
      <w:start w:val="1"/>
      <w:numFmt w:val="lowerLetter"/>
      <w:lvlText w:val="(%6)"/>
      <w:lvlJc w:val="left"/>
      <w:pPr>
        <w:tabs>
          <w:tab w:val="num" w:pos="1440"/>
        </w:tabs>
        <w:ind w:left="0" w:firstLine="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Letter"/>
      <w:lvlText w:val=""/>
      <w:lvlJc w:val="left"/>
      <w:pPr>
        <w:tabs>
          <w:tab w:val="num" w:pos="2880"/>
        </w:tabs>
        <w:ind w:left="2880" w:hanging="720"/>
      </w:pPr>
      <w:rPr>
        <w:rFonts w:ascii="Symbol" w:hAnsi="Symbol" w:hint="default"/>
      </w:rPr>
    </w:lvl>
  </w:abstractNum>
  <w:abstractNum w:abstractNumId="64" w15:restartNumberingAfterBreak="0">
    <w:nsid w:val="476B292B"/>
    <w:multiLevelType w:val="multilevel"/>
    <w:tmpl w:val="4858EB8E"/>
    <w:styleLink w:val="SDMTableBoxFigureFootnoteList"/>
    <w:lvl w:ilvl="0">
      <w:start w:val="1"/>
      <w:numFmt w:val="lowerLetter"/>
      <w:pStyle w:val="SDMTableBoxFigureFootnote"/>
      <w:lvlText w:val="(%1)"/>
      <w:lvlJc w:val="left"/>
      <w:pPr>
        <w:ind w:left="964" w:hanging="255"/>
      </w:pPr>
      <w:rPr>
        <w:rFonts w:hint="default"/>
        <w:b w:val="0"/>
        <w:i w:val="0"/>
        <w:vertAlign w:val="superscript"/>
      </w:rPr>
    </w:lvl>
    <w:lvl w:ilvl="1">
      <w:start w:val="1"/>
      <w:numFmt w:val="decimal"/>
      <w:pStyle w:val="SDMTableBoxFigureFootnoteSL1"/>
      <w:lvlText w:val="%2."/>
      <w:lvlJc w:val="left"/>
      <w:pPr>
        <w:ind w:left="1276" w:hanging="312"/>
      </w:pPr>
      <w:rPr>
        <w:rFonts w:hint="default"/>
      </w:rPr>
    </w:lvl>
    <w:lvl w:ilvl="2">
      <w:start w:val="1"/>
      <w:numFmt w:val="lowerLetter"/>
      <w:pStyle w:val="SDMTableBoxFigureFootnoteSL2"/>
      <w:lvlText w:val="(%3)"/>
      <w:lvlJc w:val="left"/>
      <w:pPr>
        <w:ind w:left="1673" w:hanging="397"/>
      </w:pPr>
      <w:rPr>
        <w:rFonts w:hint="default"/>
      </w:rPr>
    </w:lvl>
    <w:lvl w:ilvl="3">
      <w:start w:val="1"/>
      <w:numFmt w:val="lowerRoman"/>
      <w:pStyle w:val="SDMTableBoxFigureFootnoteSL3"/>
      <w:lvlText w:val="(%4)"/>
      <w:lvlJc w:val="left"/>
      <w:pPr>
        <w:ind w:left="2070" w:hanging="397"/>
      </w:pPr>
      <w:rPr>
        <w:rFonts w:hint="default"/>
      </w:rPr>
    </w:lvl>
    <w:lvl w:ilvl="4">
      <w:start w:val="1"/>
      <w:numFmt w:val="lowerLetter"/>
      <w:pStyle w:val="SDMTableBoxFigureFootnoteSL4"/>
      <w:lvlText w:val="%5."/>
      <w:lvlJc w:val="left"/>
      <w:pPr>
        <w:ind w:left="2410" w:hanging="340"/>
      </w:pPr>
      <w:rPr>
        <w:rFonts w:hint="default"/>
      </w:rPr>
    </w:lvl>
    <w:lvl w:ilvl="5">
      <w:start w:val="1"/>
      <w:numFmt w:val="lowerRoman"/>
      <w:pStyle w:val="SDMTableBoxFigureFootnoteSL5"/>
      <w:lvlText w:val="%6."/>
      <w:lvlJc w:val="left"/>
      <w:pPr>
        <w:ind w:left="2750" w:hanging="34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5" w15:restartNumberingAfterBreak="0">
    <w:nsid w:val="4AC52DB2"/>
    <w:multiLevelType w:val="multilevel"/>
    <w:tmpl w:val="C694A2DA"/>
    <w:name w:val="Reg1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66" w15:restartNumberingAfterBreak="0">
    <w:nsid w:val="4B55483B"/>
    <w:multiLevelType w:val="multilevel"/>
    <w:tmpl w:val="BBA2A6C6"/>
    <w:name w:val="Reg1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67" w15:restartNumberingAfterBreak="0">
    <w:nsid w:val="4BBF34F2"/>
    <w:multiLevelType w:val="multilevel"/>
    <w:tmpl w:val="2E14267C"/>
    <w:lvl w:ilvl="0">
      <w:start w:val="1"/>
      <w:numFmt w:val="upperLetter"/>
      <w:suff w:val="space"/>
      <w:lvlText w:val="SECTION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i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0" w:firstLine="0"/>
      </w:pPr>
      <w:rPr>
        <w:rFonts w:hint="default"/>
      </w:rPr>
    </w:lvl>
    <w:lvl w:ilvl="8">
      <w:start w:val="1"/>
      <w:numFmt w:val="decimal"/>
      <w:pStyle w:val="RegSectionLevel9"/>
      <w:suff w:val="space"/>
      <w:lvlText w:val="%1.%2.%3.%4.%5.%6.%7.%8.%9."/>
      <w:lvlJc w:val="left"/>
      <w:pPr>
        <w:ind w:left="0" w:firstLine="0"/>
      </w:pPr>
      <w:rPr>
        <w:rFonts w:hint="default"/>
      </w:rPr>
    </w:lvl>
  </w:abstractNum>
  <w:abstractNum w:abstractNumId="68" w15:restartNumberingAfterBreak="0">
    <w:nsid w:val="4DF0353F"/>
    <w:multiLevelType w:val="multilevel"/>
    <w:tmpl w:val="7C72A55E"/>
    <w:name w:val="Reg1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69" w15:restartNumberingAfterBreak="0">
    <w:nsid w:val="50297AFC"/>
    <w:multiLevelType w:val="hybridMultilevel"/>
    <w:tmpl w:val="B3A67CA6"/>
    <w:lvl w:ilvl="0" w:tplc="0413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24561C4"/>
    <w:multiLevelType w:val="multilevel"/>
    <w:tmpl w:val="A26A24AE"/>
    <w:name w:val="Reg1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71" w15:restartNumberingAfterBreak="0">
    <w:nsid w:val="5A2B6EDB"/>
    <w:multiLevelType w:val="multilevel"/>
    <w:tmpl w:val="CEECAD16"/>
    <w:lvl w:ilvl="0">
      <w:start w:val="1"/>
      <w:numFmt w:val="none"/>
      <w:pStyle w:val="RegTableText"/>
      <w:lvlText w:val="%1"/>
      <w:lvlJc w:val="left"/>
      <w:pPr>
        <w:tabs>
          <w:tab w:val="num" w:pos="0"/>
        </w:tabs>
        <w:ind w:left="0" w:firstLine="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567"/>
        </w:tabs>
        <w:ind w:left="1871" w:hanging="1276"/>
      </w:pPr>
      <w:rPr>
        <w:rFonts w:hint="default"/>
      </w:rPr>
    </w:lvl>
    <w:lvl w:ilvl="2">
      <w:start w:val="1"/>
      <w:numFmt w:val="lowerRoman"/>
      <w:lvlText w:val="(%3)"/>
      <w:lvlJc w:val="right"/>
      <w:pPr>
        <w:tabs>
          <w:tab w:val="num" w:pos="2160"/>
        </w:tabs>
        <w:ind w:left="2160" w:hanging="346"/>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72" w15:restartNumberingAfterBreak="0">
    <w:nsid w:val="5D6B27AF"/>
    <w:multiLevelType w:val="hybridMultilevel"/>
    <w:tmpl w:val="4ADAE12E"/>
    <w:lvl w:ilvl="0" w:tplc="311A3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E0E7F37"/>
    <w:multiLevelType w:val="hybridMultilevel"/>
    <w:tmpl w:val="82080B76"/>
    <w:lvl w:ilvl="0" w:tplc="F9DC12F0">
      <w:numFmt w:val="bullet"/>
      <w:lvlText w:val="–"/>
      <w:lvlJc w:val="left"/>
      <w:pPr>
        <w:ind w:left="340" w:hanging="340"/>
      </w:pPr>
      <w:rPr>
        <w:rFonts w:ascii="FoundryFormSans-Book" w:eastAsia="Calibri" w:hAnsi="FoundryFormSans-Book"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67975ED"/>
    <w:multiLevelType w:val="hybridMultilevel"/>
    <w:tmpl w:val="881E8F0C"/>
    <w:lvl w:ilvl="0" w:tplc="311A30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B2B284C"/>
    <w:multiLevelType w:val="hybridMultilevel"/>
    <w:tmpl w:val="8BF8253E"/>
    <w:lvl w:ilvl="0" w:tplc="94028F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392DA7"/>
    <w:multiLevelType w:val="multilevel"/>
    <w:tmpl w:val="5EDE06C6"/>
    <w:numStyleLink w:val="SDMParaList"/>
  </w:abstractNum>
  <w:abstractNum w:abstractNumId="77" w15:restartNumberingAfterBreak="0">
    <w:nsid w:val="6BAF5E91"/>
    <w:multiLevelType w:val="hybridMultilevel"/>
    <w:tmpl w:val="DC901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331F9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9" w15:restartNumberingAfterBreak="0">
    <w:nsid w:val="7024521F"/>
    <w:multiLevelType w:val="hybridMultilevel"/>
    <w:tmpl w:val="DF9C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513EBE"/>
    <w:multiLevelType w:val="hybridMultilevel"/>
    <w:tmpl w:val="DC901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2" w15:restartNumberingAfterBreak="0">
    <w:nsid w:val="7D4768D6"/>
    <w:multiLevelType w:val="hybridMultilevel"/>
    <w:tmpl w:val="DC901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63"/>
  </w:num>
  <w:num w:numId="3">
    <w:abstractNumId w:val="30"/>
  </w:num>
  <w:num w:numId="4">
    <w:abstractNumId w:val="59"/>
  </w:num>
  <w:num w:numId="5">
    <w:abstractNumId w:val="23"/>
  </w:num>
  <w:num w:numId="6">
    <w:abstractNumId w:val="67"/>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num>
  <w:num w:numId="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6"/>
  </w:num>
  <w:num w:numId="15">
    <w:abstractNumId w:val="33"/>
  </w:num>
  <w:num w:numId="16">
    <w:abstractNumId w:val="81"/>
  </w:num>
  <w:num w:numId="17">
    <w:abstractNumId w:val="20"/>
  </w:num>
  <w:num w:numId="18">
    <w:abstractNumId w:val="64"/>
  </w:num>
  <w:num w:numId="19">
    <w:abstractNumId w:val="11"/>
  </w:num>
  <w:num w:numId="20">
    <w:abstractNumId w:val="8"/>
  </w:num>
  <w:num w:numId="21">
    <w:abstractNumId w:val="42"/>
    <w:lvlOverride w:ilvl="0">
      <w:lvl w:ilvl="0">
        <w:start w:val="1"/>
        <w:numFmt w:val="decimal"/>
        <w:pStyle w:val="SDMAppTitle"/>
        <w:lvlText w:val="Appendix %1."/>
        <w:lvlJc w:val="left"/>
        <w:pPr>
          <w:ind w:left="2126" w:hanging="2126"/>
        </w:pPr>
        <w:rPr>
          <w:rFonts w:hint="default"/>
        </w:rPr>
      </w:lvl>
    </w:lvlOverride>
  </w:num>
  <w:num w:numId="22">
    <w:abstractNumId w:val="10"/>
  </w:num>
  <w:num w:numId="23">
    <w:abstractNumId w:val="49"/>
  </w:num>
  <w:num w:numId="24">
    <w:abstractNumId w:val="16"/>
  </w:num>
  <w:num w:numId="25">
    <w:abstractNumId w:val="40"/>
  </w:num>
  <w:num w:numId="26">
    <w:abstractNumId w:val="22"/>
  </w:num>
  <w:num w:numId="27">
    <w:abstractNumId w:val="29"/>
  </w:num>
  <w:num w:numId="28">
    <w:abstractNumId w:val="12"/>
  </w:num>
  <w:num w:numId="29">
    <w:abstractNumId w:val="19"/>
  </w:num>
  <w:num w:numId="30">
    <w:abstractNumId w:val="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62"/>
  </w:num>
  <w:num w:numId="36">
    <w:abstractNumId w:val="4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73"/>
  </w:num>
  <w:num w:numId="40">
    <w:abstractNumId w:val="79"/>
  </w:num>
  <w:num w:numId="41">
    <w:abstractNumId w:val="75"/>
  </w:num>
  <w:num w:numId="42">
    <w:abstractNumId w:val="27"/>
  </w:num>
  <w:num w:numId="43">
    <w:abstractNumId w:val="24"/>
  </w:num>
  <w:num w:numId="44">
    <w:abstractNumId w:val="3"/>
  </w:num>
  <w:num w:numId="45">
    <w:abstractNumId w:val="39"/>
  </w:num>
  <w:num w:numId="46">
    <w:abstractNumId w:val="61"/>
  </w:num>
  <w:num w:numId="47">
    <w:abstractNumId w:val="38"/>
  </w:num>
  <w:num w:numId="48">
    <w:abstractNumId w:val="58"/>
  </w:num>
  <w:num w:numId="49">
    <w:abstractNumId w:val="26"/>
  </w:num>
  <w:num w:numId="50">
    <w:abstractNumId w:val="69"/>
  </w:num>
  <w:num w:numId="51">
    <w:abstractNumId w:val="72"/>
  </w:num>
  <w:num w:numId="52">
    <w:abstractNumId w:val="74"/>
  </w:num>
  <w:num w:numId="53">
    <w:abstractNumId w:val="41"/>
  </w:num>
  <w:num w:numId="54">
    <w:abstractNumId w:val="77"/>
  </w:num>
  <w:num w:numId="55">
    <w:abstractNumId w:val="82"/>
  </w:num>
  <w:num w:numId="56">
    <w:abstractNumId w:val="57"/>
  </w:num>
  <w:num w:numId="57">
    <w:abstractNumId w:val="9"/>
  </w:num>
  <w:num w:numId="58">
    <w:abstractNumId w:val="8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documentProtection w:formatting="1" w:enforcement="0"/>
  <w:defaultTabStop w:val="709"/>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94"/>
    <w:rsid w:val="000012E9"/>
    <w:rsid w:val="000017C8"/>
    <w:rsid w:val="00001CDA"/>
    <w:rsid w:val="00002694"/>
    <w:rsid w:val="00003F80"/>
    <w:rsid w:val="00004BD2"/>
    <w:rsid w:val="00004C78"/>
    <w:rsid w:val="0001073B"/>
    <w:rsid w:val="0001110F"/>
    <w:rsid w:val="00011866"/>
    <w:rsid w:val="0001251E"/>
    <w:rsid w:val="00012DD0"/>
    <w:rsid w:val="00012DDB"/>
    <w:rsid w:val="00012F91"/>
    <w:rsid w:val="00013323"/>
    <w:rsid w:val="00013330"/>
    <w:rsid w:val="000135A5"/>
    <w:rsid w:val="00013F70"/>
    <w:rsid w:val="000167E4"/>
    <w:rsid w:val="0002035A"/>
    <w:rsid w:val="00021AD8"/>
    <w:rsid w:val="00022A60"/>
    <w:rsid w:val="0002365E"/>
    <w:rsid w:val="00024C9D"/>
    <w:rsid w:val="000250BE"/>
    <w:rsid w:val="000250D2"/>
    <w:rsid w:val="000257B0"/>
    <w:rsid w:val="00026099"/>
    <w:rsid w:val="0002671B"/>
    <w:rsid w:val="00027F87"/>
    <w:rsid w:val="00030C08"/>
    <w:rsid w:val="00032453"/>
    <w:rsid w:val="00032583"/>
    <w:rsid w:val="0003308A"/>
    <w:rsid w:val="000343F5"/>
    <w:rsid w:val="000361DB"/>
    <w:rsid w:val="0003624C"/>
    <w:rsid w:val="00036406"/>
    <w:rsid w:val="0004019F"/>
    <w:rsid w:val="00040CD4"/>
    <w:rsid w:val="0004112F"/>
    <w:rsid w:val="000412E2"/>
    <w:rsid w:val="00041737"/>
    <w:rsid w:val="00041A5C"/>
    <w:rsid w:val="00041E3F"/>
    <w:rsid w:val="0004270B"/>
    <w:rsid w:val="00045030"/>
    <w:rsid w:val="0004606A"/>
    <w:rsid w:val="000501E2"/>
    <w:rsid w:val="000502D5"/>
    <w:rsid w:val="00050A04"/>
    <w:rsid w:val="000529A2"/>
    <w:rsid w:val="000530C3"/>
    <w:rsid w:val="00054CE4"/>
    <w:rsid w:val="00055154"/>
    <w:rsid w:val="000610E3"/>
    <w:rsid w:val="00061576"/>
    <w:rsid w:val="00061799"/>
    <w:rsid w:val="00062B21"/>
    <w:rsid w:val="000632B5"/>
    <w:rsid w:val="00064651"/>
    <w:rsid w:val="00064735"/>
    <w:rsid w:val="00064CEE"/>
    <w:rsid w:val="000666DF"/>
    <w:rsid w:val="000668EE"/>
    <w:rsid w:val="00067730"/>
    <w:rsid w:val="00067D45"/>
    <w:rsid w:val="0007034A"/>
    <w:rsid w:val="0007055B"/>
    <w:rsid w:val="00070726"/>
    <w:rsid w:val="000711FC"/>
    <w:rsid w:val="00071E89"/>
    <w:rsid w:val="00074D1F"/>
    <w:rsid w:val="0007516F"/>
    <w:rsid w:val="00075D1E"/>
    <w:rsid w:val="00076D58"/>
    <w:rsid w:val="00077241"/>
    <w:rsid w:val="000778FC"/>
    <w:rsid w:val="00080189"/>
    <w:rsid w:val="00080741"/>
    <w:rsid w:val="00081213"/>
    <w:rsid w:val="000816FC"/>
    <w:rsid w:val="0008185A"/>
    <w:rsid w:val="00082C21"/>
    <w:rsid w:val="00085C57"/>
    <w:rsid w:val="00085FC0"/>
    <w:rsid w:val="0008667B"/>
    <w:rsid w:val="00086D83"/>
    <w:rsid w:val="0008783C"/>
    <w:rsid w:val="000878E7"/>
    <w:rsid w:val="00090954"/>
    <w:rsid w:val="00090A9F"/>
    <w:rsid w:val="00092B68"/>
    <w:rsid w:val="00094043"/>
    <w:rsid w:val="000946DB"/>
    <w:rsid w:val="00094EF7"/>
    <w:rsid w:val="00094F24"/>
    <w:rsid w:val="0009510B"/>
    <w:rsid w:val="0009730B"/>
    <w:rsid w:val="00097312"/>
    <w:rsid w:val="000978C2"/>
    <w:rsid w:val="000A200C"/>
    <w:rsid w:val="000A2684"/>
    <w:rsid w:val="000A3021"/>
    <w:rsid w:val="000A35EE"/>
    <w:rsid w:val="000A5F8A"/>
    <w:rsid w:val="000A699E"/>
    <w:rsid w:val="000A6AF1"/>
    <w:rsid w:val="000B11D5"/>
    <w:rsid w:val="000B2703"/>
    <w:rsid w:val="000B2D5F"/>
    <w:rsid w:val="000B2E8C"/>
    <w:rsid w:val="000B3E2C"/>
    <w:rsid w:val="000B40D2"/>
    <w:rsid w:val="000B4312"/>
    <w:rsid w:val="000B45B4"/>
    <w:rsid w:val="000B4A77"/>
    <w:rsid w:val="000B5955"/>
    <w:rsid w:val="000B6574"/>
    <w:rsid w:val="000B66D8"/>
    <w:rsid w:val="000B6A28"/>
    <w:rsid w:val="000B7458"/>
    <w:rsid w:val="000B7620"/>
    <w:rsid w:val="000B7ED9"/>
    <w:rsid w:val="000B7F44"/>
    <w:rsid w:val="000C01EC"/>
    <w:rsid w:val="000C0FBF"/>
    <w:rsid w:val="000C178D"/>
    <w:rsid w:val="000C19B3"/>
    <w:rsid w:val="000C204A"/>
    <w:rsid w:val="000C2EA5"/>
    <w:rsid w:val="000C2FED"/>
    <w:rsid w:val="000C486C"/>
    <w:rsid w:val="000C492F"/>
    <w:rsid w:val="000C4B81"/>
    <w:rsid w:val="000C5407"/>
    <w:rsid w:val="000C7060"/>
    <w:rsid w:val="000C7BBC"/>
    <w:rsid w:val="000C7CA3"/>
    <w:rsid w:val="000D1500"/>
    <w:rsid w:val="000D1878"/>
    <w:rsid w:val="000D25FD"/>
    <w:rsid w:val="000D3B54"/>
    <w:rsid w:val="000D5C6C"/>
    <w:rsid w:val="000D6364"/>
    <w:rsid w:val="000D7938"/>
    <w:rsid w:val="000E0F3A"/>
    <w:rsid w:val="000E1266"/>
    <w:rsid w:val="000E2159"/>
    <w:rsid w:val="000E24D8"/>
    <w:rsid w:val="000E2BA7"/>
    <w:rsid w:val="000E338E"/>
    <w:rsid w:val="000E41CC"/>
    <w:rsid w:val="000E4AF8"/>
    <w:rsid w:val="000E5BC4"/>
    <w:rsid w:val="000E7018"/>
    <w:rsid w:val="000E7AE4"/>
    <w:rsid w:val="000E7CA4"/>
    <w:rsid w:val="000E7F12"/>
    <w:rsid w:val="000F1316"/>
    <w:rsid w:val="000F290A"/>
    <w:rsid w:val="000F3F23"/>
    <w:rsid w:val="000F4CD9"/>
    <w:rsid w:val="000F50E4"/>
    <w:rsid w:val="000F5C2F"/>
    <w:rsid w:val="000F74B6"/>
    <w:rsid w:val="000F77D6"/>
    <w:rsid w:val="000F7B93"/>
    <w:rsid w:val="00101BAA"/>
    <w:rsid w:val="00102BAE"/>
    <w:rsid w:val="001035D8"/>
    <w:rsid w:val="001037A8"/>
    <w:rsid w:val="00104D01"/>
    <w:rsid w:val="00107354"/>
    <w:rsid w:val="00107C36"/>
    <w:rsid w:val="0011063E"/>
    <w:rsid w:val="001111A8"/>
    <w:rsid w:val="00112DAC"/>
    <w:rsid w:val="00113779"/>
    <w:rsid w:val="00113E3A"/>
    <w:rsid w:val="00114BD8"/>
    <w:rsid w:val="0011503B"/>
    <w:rsid w:val="001177B5"/>
    <w:rsid w:val="00117D4D"/>
    <w:rsid w:val="00117E4C"/>
    <w:rsid w:val="00120F05"/>
    <w:rsid w:val="00121F74"/>
    <w:rsid w:val="00124C6D"/>
    <w:rsid w:val="00124D26"/>
    <w:rsid w:val="001255B3"/>
    <w:rsid w:val="001268FC"/>
    <w:rsid w:val="00130BCF"/>
    <w:rsid w:val="00130FE6"/>
    <w:rsid w:val="001311BF"/>
    <w:rsid w:val="0013281E"/>
    <w:rsid w:val="00132CF8"/>
    <w:rsid w:val="00136486"/>
    <w:rsid w:val="00136776"/>
    <w:rsid w:val="0013716C"/>
    <w:rsid w:val="001372D2"/>
    <w:rsid w:val="00137EE9"/>
    <w:rsid w:val="001404CC"/>
    <w:rsid w:val="0014207D"/>
    <w:rsid w:val="001429D1"/>
    <w:rsid w:val="001458D2"/>
    <w:rsid w:val="00145A49"/>
    <w:rsid w:val="00146EBD"/>
    <w:rsid w:val="0015025D"/>
    <w:rsid w:val="00151740"/>
    <w:rsid w:val="0015175E"/>
    <w:rsid w:val="00152EB5"/>
    <w:rsid w:val="0015333E"/>
    <w:rsid w:val="00153769"/>
    <w:rsid w:val="001540C3"/>
    <w:rsid w:val="00156D75"/>
    <w:rsid w:val="0015717E"/>
    <w:rsid w:val="00160926"/>
    <w:rsid w:val="00161805"/>
    <w:rsid w:val="00161C87"/>
    <w:rsid w:val="00163173"/>
    <w:rsid w:val="00163176"/>
    <w:rsid w:val="00163E00"/>
    <w:rsid w:val="0016518E"/>
    <w:rsid w:val="0016535E"/>
    <w:rsid w:val="00165D75"/>
    <w:rsid w:val="00165EE2"/>
    <w:rsid w:val="00165F79"/>
    <w:rsid w:val="00166CCD"/>
    <w:rsid w:val="0016770C"/>
    <w:rsid w:val="00170A2C"/>
    <w:rsid w:val="0017125D"/>
    <w:rsid w:val="00173271"/>
    <w:rsid w:val="00175FC8"/>
    <w:rsid w:val="00180982"/>
    <w:rsid w:val="00180A59"/>
    <w:rsid w:val="00180A64"/>
    <w:rsid w:val="0018127F"/>
    <w:rsid w:val="0018377C"/>
    <w:rsid w:val="00183804"/>
    <w:rsid w:val="0018398F"/>
    <w:rsid w:val="00184FEB"/>
    <w:rsid w:val="00185565"/>
    <w:rsid w:val="00186342"/>
    <w:rsid w:val="0018663F"/>
    <w:rsid w:val="00186E92"/>
    <w:rsid w:val="0018702E"/>
    <w:rsid w:val="0019199F"/>
    <w:rsid w:val="0019251D"/>
    <w:rsid w:val="00196C0E"/>
    <w:rsid w:val="00197265"/>
    <w:rsid w:val="00197D5A"/>
    <w:rsid w:val="001A15FA"/>
    <w:rsid w:val="001A3551"/>
    <w:rsid w:val="001A6050"/>
    <w:rsid w:val="001A686B"/>
    <w:rsid w:val="001B2070"/>
    <w:rsid w:val="001B210D"/>
    <w:rsid w:val="001B35F2"/>
    <w:rsid w:val="001B48DE"/>
    <w:rsid w:val="001B53C6"/>
    <w:rsid w:val="001B6F83"/>
    <w:rsid w:val="001C0761"/>
    <w:rsid w:val="001C13E2"/>
    <w:rsid w:val="001C1E52"/>
    <w:rsid w:val="001C250B"/>
    <w:rsid w:val="001C46C6"/>
    <w:rsid w:val="001C4CC4"/>
    <w:rsid w:val="001C601D"/>
    <w:rsid w:val="001C6370"/>
    <w:rsid w:val="001C658F"/>
    <w:rsid w:val="001C68ED"/>
    <w:rsid w:val="001C6C4C"/>
    <w:rsid w:val="001C7318"/>
    <w:rsid w:val="001D0762"/>
    <w:rsid w:val="001D15B4"/>
    <w:rsid w:val="001D1804"/>
    <w:rsid w:val="001D2D2B"/>
    <w:rsid w:val="001D4146"/>
    <w:rsid w:val="001D4D37"/>
    <w:rsid w:val="001E0142"/>
    <w:rsid w:val="001E269F"/>
    <w:rsid w:val="001E4FCC"/>
    <w:rsid w:val="001E5A27"/>
    <w:rsid w:val="001E5B70"/>
    <w:rsid w:val="001E6F87"/>
    <w:rsid w:val="001E77FB"/>
    <w:rsid w:val="001E7C1B"/>
    <w:rsid w:val="001F0F13"/>
    <w:rsid w:val="001F0FD2"/>
    <w:rsid w:val="001F23DA"/>
    <w:rsid w:val="001F44AB"/>
    <w:rsid w:val="001F47C6"/>
    <w:rsid w:val="001F4949"/>
    <w:rsid w:val="001F4AED"/>
    <w:rsid w:val="001F5F63"/>
    <w:rsid w:val="001F645D"/>
    <w:rsid w:val="001F64F0"/>
    <w:rsid w:val="001F7034"/>
    <w:rsid w:val="001F7E79"/>
    <w:rsid w:val="00200123"/>
    <w:rsid w:val="0020142B"/>
    <w:rsid w:val="00201BBB"/>
    <w:rsid w:val="00201D87"/>
    <w:rsid w:val="0020249F"/>
    <w:rsid w:val="002032C3"/>
    <w:rsid w:val="00205C60"/>
    <w:rsid w:val="00205E30"/>
    <w:rsid w:val="00206EDB"/>
    <w:rsid w:val="00206F7C"/>
    <w:rsid w:val="002077D3"/>
    <w:rsid w:val="00211BCE"/>
    <w:rsid w:val="002134CE"/>
    <w:rsid w:val="00214DD0"/>
    <w:rsid w:val="00214F11"/>
    <w:rsid w:val="002153EB"/>
    <w:rsid w:val="002154EF"/>
    <w:rsid w:val="002158D4"/>
    <w:rsid w:val="00215D00"/>
    <w:rsid w:val="00216628"/>
    <w:rsid w:val="00216DB5"/>
    <w:rsid w:val="002172CC"/>
    <w:rsid w:val="00217498"/>
    <w:rsid w:val="00220A70"/>
    <w:rsid w:val="00222004"/>
    <w:rsid w:val="00222683"/>
    <w:rsid w:val="00222D28"/>
    <w:rsid w:val="002245AD"/>
    <w:rsid w:val="0022541C"/>
    <w:rsid w:val="0022626F"/>
    <w:rsid w:val="0022795A"/>
    <w:rsid w:val="00227CC3"/>
    <w:rsid w:val="00230232"/>
    <w:rsid w:val="002306EE"/>
    <w:rsid w:val="00230E1D"/>
    <w:rsid w:val="002314D3"/>
    <w:rsid w:val="00231CD6"/>
    <w:rsid w:val="00232317"/>
    <w:rsid w:val="00232334"/>
    <w:rsid w:val="002325CB"/>
    <w:rsid w:val="00232709"/>
    <w:rsid w:val="002342C5"/>
    <w:rsid w:val="00234A91"/>
    <w:rsid w:val="00235ACD"/>
    <w:rsid w:val="00235C85"/>
    <w:rsid w:val="00237BEA"/>
    <w:rsid w:val="00240362"/>
    <w:rsid w:val="00240E42"/>
    <w:rsid w:val="0024142D"/>
    <w:rsid w:val="00241538"/>
    <w:rsid w:val="00241C1D"/>
    <w:rsid w:val="002420F1"/>
    <w:rsid w:val="00243426"/>
    <w:rsid w:val="0024393A"/>
    <w:rsid w:val="00243FEF"/>
    <w:rsid w:val="002459A2"/>
    <w:rsid w:val="002466F3"/>
    <w:rsid w:val="002467B4"/>
    <w:rsid w:val="00247D0A"/>
    <w:rsid w:val="0025172F"/>
    <w:rsid w:val="00251799"/>
    <w:rsid w:val="00251A2B"/>
    <w:rsid w:val="002525BD"/>
    <w:rsid w:val="00255B85"/>
    <w:rsid w:val="00255E29"/>
    <w:rsid w:val="002566DE"/>
    <w:rsid w:val="0025789E"/>
    <w:rsid w:val="0026007A"/>
    <w:rsid w:val="00260739"/>
    <w:rsid w:val="00260E84"/>
    <w:rsid w:val="002616D8"/>
    <w:rsid w:val="00261D79"/>
    <w:rsid w:val="00262958"/>
    <w:rsid w:val="00262E81"/>
    <w:rsid w:val="00264CD3"/>
    <w:rsid w:val="00265CAF"/>
    <w:rsid w:val="00270762"/>
    <w:rsid w:val="00270FD0"/>
    <w:rsid w:val="00271B7A"/>
    <w:rsid w:val="00271E20"/>
    <w:rsid w:val="00272DB8"/>
    <w:rsid w:val="00272F89"/>
    <w:rsid w:val="002731B4"/>
    <w:rsid w:val="002745B5"/>
    <w:rsid w:val="00275BA5"/>
    <w:rsid w:val="00276140"/>
    <w:rsid w:val="00276293"/>
    <w:rsid w:val="00276366"/>
    <w:rsid w:val="00276EAB"/>
    <w:rsid w:val="00280A84"/>
    <w:rsid w:val="00284E65"/>
    <w:rsid w:val="00284FAB"/>
    <w:rsid w:val="0028559A"/>
    <w:rsid w:val="0028603D"/>
    <w:rsid w:val="00286E94"/>
    <w:rsid w:val="00290E45"/>
    <w:rsid w:val="0029199C"/>
    <w:rsid w:val="002923A7"/>
    <w:rsid w:val="0029335D"/>
    <w:rsid w:val="00293B78"/>
    <w:rsid w:val="00294FE9"/>
    <w:rsid w:val="002953FF"/>
    <w:rsid w:val="00295846"/>
    <w:rsid w:val="00297118"/>
    <w:rsid w:val="00297D6C"/>
    <w:rsid w:val="00297E9B"/>
    <w:rsid w:val="002A1002"/>
    <w:rsid w:val="002A1965"/>
    <w:rsid w:val="002A2597"/>
    <w:rsid w:val="002A3081"/>
    <w:rsid w:val="002A421A"/>
    <w:rsid w:val="002A4341"/>
    <w:rsid w:val="002A5E27"/>
    <w:rsid w:val="002A6379"/>
    <w:rsid w:val="002A64CD"/>
    <w:rsid w:val="002A679C"/>
    <w:rsid w:val="002A6B10"/>
    <w:rsid w:val="002A6C7E"/>
    <w:rsid w:val="002A6FE1"/>
    <w:rsid w:val="002A7147"/>
    <w:rsid w:val="002A794B"/>
    <w:rsid w:val="002A7FE3"/>
    <w:rsid w:val="002B15D3"/>
    <w:rsid w:val="002B2B0B"/>
    <w:rsid w:val="002B45F1"/>
    <w:rsid w:val="002B4AD4"/>
    <w:rsid w:val="002B5289"/>
    <w:rsid w:val="002B52AE"/>
    <w:rsid w:val="002B5887"/>
    <w:rsid w:val="002B6154"/>
    <w:rsid w:val="002C090E"/>
    <w:rsid w:val="002C0DFF"/>
    <w:rsid w:val="002C1322"/>
    <w:rsid w:val="002C1670"/>
    <w:rsid w:val="002C1C8C"/>
    <w:rsid w:val="002C1CDB"/>
    <w:rsid w:val="002C2773"/>
    <w:rsid w:val="002C2F73"/>
    <w:rsid w:val="002C4B0E"/>
    <w:rsid w:val="002C51D6"/>
    <w:rsid w:val="002C6F8E"/>
    <w:rsid w:val="002C77C8"/>
    <w:rsid w:val="002D08BD"/>
    <w:rsid w:val="002D0DDA"/>
    <w:rsid w:val="002D181D"/>
    <w:rsid w:val="002D22A4"/>
    <w:rsid w:val="002D26D5"/>
    <w:rsid w:val="002D4AF3"/>
    <w:rsid w:val="002D78E8"/>
    <w:rsid w:val="002E037B"/>
    <w:rsid w:val="002E0404"/>
    <w:rsid w:val="002E0BCA"/>
    <w:rsid w:val="002E1AE5"/>
    <w:rsid w:val="002E2943"/>
    <w:rsid w:val="002E2D73"/>
    <w:rsid w:val="002E3112"/>
    <w:rsid w:val="002E5551"/>
    <w:rsid w:val="002E62E7"/>
    <w:rsid w:val="002E7E5D"/>
    <w:rsid w:val="002E7F6C"/>
    <w:rsid w:val="002F0D7E"/>
    <w:rsid w:val="002F2FBA"/>
    <w:rsid w:val="002F43F2"/>
    <w:rsid w:val="002F63B3"/>
    <w:rsid w:val="002F78EA"/>
    <w:rsid w:val="002F7EEF"/>
    <w:rsid w:val="0030060D"/>
    <w:rsid w:val="00300FFA"/>
    <w:rsid w:val="003022B3"/>
    <w:rsid w:val="00302F0E"/>
    <w:rsid w:val="00302F41"/>
    <w:rsid w:val="00305107"/>
    <w:rsid w:val="00305230"/>
    <w:rsid w:val="00305ACB"/>
    <w:rsid w:val="003060EB"/>
    <w:rsid w:val="003079E8"/>
    <w:rsid w:val="00307B99"/>
    <w:rsid w:val="0031038E"/>
    <w:rsid w:val="00310C4C"/>
    <w:rsid w:val="0031172F"/>
    <w:rsid w:val="003129FF"/>
    <w:rsid w:val="003141C0"/>
    <w:rsid w:val="0031625C"/>
    <w:rsid w:val="00317878"/>
    <w:rsid w:val="003207BD"/>
    <w:rsid w:val="00320A06"/>
    <w:rsid w:val="00320A3B"/>
    <w:rsid w:val="0032243A"/>
    <w:rsid w:val="00322687"/>
    <w:rsid w:val="00322F88"/>
    <w:rsid w:val="00323D3C"/>
    <w:rsid w:val="00323EB7"/>
    <w:rsid w:val="00324423"/>
    <w:rsid w:val="00324969"/>
    <w:rsid w:val="00324F42"/>
    <w:rsid w:val="003256F8"/>
    <w:rsid w:val="0032684E"/>
    <w:rsid w:val="003275E5"/>
    <w:rsid w:val="00327930"/>
    <w:rsid w:val="00331BC1"/>
    <w:rsid w:val="003322C5"/>
    <w:rsid w:val="00333044"/>
    <w:rsid w:val="003342C3"/>
    <w:rsid w:val="0033585A"/>
    <w:rsid w:val="00336916"/>
    <w:rsid w:val="00337DD7"/>
    <w:rsid w:val="00340A07"/>
    <w:rsid w:val="00340DC8"/>
    <w:rsid w:val="00343500"/>
    <w:rsid w:val="003436B9"/>
    <w:rsid w:val="00344745"/>
    <w:rsid w:val="003449F1"/>
    <w:rsid w:val="003476B9"/>
    <w:rsid w:val="00350E65"/>
    <w:rsid w:val="003512BE"/>
    <w:rsid w:val="00352A01"/>
    <w:rsid w:val="00352DC1"/>
    <w:rsid w:val="003533C1"/>
    <w:rsid w:val="00353EA4"/>
    <w:rsid w:val="003561E1"/>
    <w:rsid w:val="00356527"/>
    <w:rsid w:val="00356701"/>
    <w:rsid w:val="0035720C"/>
    <w:rsid w:val="003575A6"/>
    <w:rsid w:val="0036016C"/>
    <w:rsid w:val="00362F98"/>
    <w:rsid w:val="00363316"/>
    <w:rsid w:val="003646A4"/>
    <w:rsid w:val="0036601E"/>
    <w:rsid w:val="00366976"/>
    <w:rsid w:val="00367439"/>
    <w:rsid w:val="003711A0"/>
    <w:rsid w:val="0037136E"/>
    <w:rsid w:val="003716E0"/>
    <w:rsid w:val="00371D3C"/>
    <w:rsid w:val="00371DD1"/>
    <w:rsid w:val="003728F8"/>
    <w:rsid w:val="00372F01"/>
    <w:rsid w:val="003731E3"/>
    <w:rsid w:val="0037376B"/>
    <w:rsid w:val="003750E0"/>
    <w:rsid w:val="003752EF"/>
    <w:rsid w:val="00375932"/>
    <w:rsid w:val="00375E2F"/>
    <w:rsid w:val="00376E61"/>
    <w:rsid w:val="003773DB"/>
    <w:rsid w:val="0038086A"/>
    <w:rsid w:val="00380B71"/>
    <w:rsid w:val="00380F51"/>
    <w:rsid w:val="003812E8"/>
    <w:rsid w:val="0038214E"/>
    <w:rsid w:val="0038228E"/>
    <w:rsid w:val="0038310C"/>
    <w:rsid w:val="00383C3A"/>
    <w:rsid w:val="00383FC9"/>
    <w:rsid w:val="003841E6"/>
    <w:rsid w:val="00384C82"/>
    <w:rsid w:val="00385941"/>
    <w:rsid w:val="003861C6"/>
    <w:rsid w:val="00386F9E"/>
    <w:rsid w:val="00387858"/>
    <w:rsid w:val="0039187D"/>
    <w:rsid w:val="003921E0"/>
    <w:rsid w:val="003936A5"/>
    <w:rsid w:val="003937C4"/>
    <w:rsid w:val="00393A7C"/>
    <w:rsid w:val="00394C0C"/>
    <w:rsid w:val="00395D8E"/>
    <w:rsid w:val="00397089"/>
    <w:rsid w:val="003973F5"/>
    <w:rsid w:val="003979A5"/>
    <w:rsid w:val="003A05E7"/>
    <w:rsid w:val="003A0A14"/>
    <w:rsid w:val="003A0AD7"/>
    <w:rsid w:val="003A0D28"/>
    <w:rsid w:val="003A20DE"/>
    <w:rsid w:val="003A25A6"/>
    <w:rsid w:val="003A30AC"/>
    <w:rsid w:val="003A3183"/>
    <w:rsid w:val="003A366C"/>
    <w:rsid w:val="003A3860"/>
    <w:rsid w:val="003A3F09"/>
    <w:rsid w:val="003A42A8"/>
    <w:rsid w:val="003A4307"/>
    <w:rsid w:val="003A458E"/>
    <w:rsid w:val="003A46F9"/>
    <w:rsid w:val="003A748F"/>
    <w:rsid w:val="003B2340"/>
    <w:rsid w:val="003B2C1E"/>
    <w:rsid w:val="003B36C5"/>
    <w:rsid w:val="003B4F37"/>
    <w:rsid w:val="003B566B"/>
    <w:rsid w:val="003B5D62"/>
    <w:rsid w:val="003B6B8E"/>
    <w:rsid w:val="003B778C"/>
    <w:rsid w:val="003B7C24"/>
    <w:rsid w:val="003C07AA"/>
    <w:rsid w:val="003C0FEC"/>
    <w:rsid w:val="003C10B0"/>
    <w:rsid w:val="003C1B7C"/>
    <w:rsid w:val="003C3474"/>
    <w:rsid w:val="003C3529"/>
    <w:rsid w:val="003C369F"/>
    <w:rsid w:val="003C4DEC"/>
    <w:rsid w:val="003C51E6"/>
    <w:rsid w:val="003C5C19"/>
    <w:rsid w:val="003C7598"/>
    <w:rsid w:val="003D14AB"/>
    <w:rsid w:val="003D1CFF"/>
    <w:rsid w:val="003D212E"/>
    <w:rsid w:val="003D3568"/>
    <w:rsid w:val="003D43AA"/>
    <w:rsid w:val="003D4866"/>
    <w:rsid w:val="003D4E91"/>
    <w:rsid w:val="003D5B7F"/>
    <w:rsid w:val="003D5BC9"/>
    <w:rsid w:val="003D5E9B"/>
    <w:rsid w:val="003D6267"/>
    <w:rsid w:val="003D6E5C"/>
    <w:rsid w:val="003D7086"/>
    <w:rsid w:val="003D7C0A"/>
    <w:rsid w:val="003E0E9E"/>
    <w:rsid w:val="003E156D"/>
    <w:rsid w:val="003E1FC1"/>
    <w:rsid w:val="003E334E"/>
    <w:rsid w:val="003E5FE8"/>
    <w:rsid w:val="003E61D1"/>
    <w:rsid w:val="003E706B"/>
    <w:rsid w:val="003F0E03"/>
    <w:rsid w:val="003F1444"/>
    <w:rsid w:val="003F18CF"/>
    <w:rsid w:val="003F1BB2"/>
    <w:rsid w:val="003F2E91"/>
    <w:rsid w:val="003F40BF"/>
    <w:rsid w:val="003F461E"/>
    <w:rsid w:val="003F48FA"/>
    <w:rsid w:val="003F6B54"/>
    <w:rsid w:val="00400D21"/>
    <w:rsid w:val="00402C58"/>
    <w:rsid w:val="00402C5B"/>
    <w:rsid w:val="00403802"/>
    <w:rsid w:val="00403C44"/>
    <w:rsid w:val="00403D9D"/>
    <w:rsid w:val="00410671"/>
    <w:rsid w:val="00410B59"/>
    <w:rsid w:val="00413C75"/>
    <w:rsid w:val="00413DBE"/>
    <w:rsid w:val="004144E5"/>
    <w:rsid w:val="004153E8"/>
    <w:rsid w:val="00415F05"/>
    <w:rsid w:val="00416E12"/>
    <w:rsid w:val="004171DF"/>
    <w:rsid w:val="00421580"/>
    <w:rsid w:val="0042322F"/>
    <w:rsid w:val="0042323A"/>
    <w:rsid w:val="00423502"/>
    <w:rsid w:val="004245A4"/>
    <w:rsid w:val="00424954"/>
    <w:rsid w:val="004249D2"/>
    <w:rsid w:val="00424FC0"/>
    <w:rsid w:val="00425DAF"/>
    <w:rsid w:val="004263D3"/>
    <w:rsid w:val="0043017E"/>
    <w:rsid w:val="004316A6"/>
    <w:rsid w:val="00431A31"/>
    <w:rsid w:val="00431C2A"/>
    <w:rsid w:val="0043219C"/>
    <w:rsid w:val="00433124"/>
    <w:rsid w:val="00435137"/>
    <w:rsid w:val="00436418"/>
    <w:rsid w:val="00436B1E"/>
    <w:rsid w:val="00437AAD"/>
    <w:rsid w:val="004422E4"/>
    <w:rsid w:val="00442A47"/>
    <w:rsid w:val="00442BB0"/>
    <w:rsid w:val="004444B2"/>
    <w:rsid w:val="00444E2D"/>
    <w:rsid w:val="004456CE"/>
    <w:rsid w:val="00450DF4"/>
    <w:rsid w:val="00451C39"/>
    <w:rsid w:val="00452186"/>
    <w:rsid w:val="00453F77"/>
    <w:rsid w:val="00454E1E"/>
    <w:rsid w:val="00457294"/>
    <w:rsid w:val="004616D2"/>
    <w:rsid w:val="00461BEC"/>
    <w:rsid w:val="00462A39"/>
    <w:rsid w:val="004636C9"/>
    <w:rsid w:val="0046469D"/>
    <w:rsid w:val="00464B7C"/>
    <w:rsid w:val="00464E14"/>
    <w:rsid w:val="00464F58"/>
    <w:rsid w:val="004655D4"/>
    <w:rsid w:val="00466251"/>
    <w:rsid w:val="00470EF6"/>
    <w:rsid w:val="00471B7F"/>
    <w:rsid w:val="004745B6"/>
    <w:rsid w:val="00474BEA"/>
    <w:rsid w:val="00475D28"/>
    <w:rsid w:val="00475D8C"/>
    <w:rsid w:val="00475FE0"/>
    <w:rsid w:val="00476262"/>
    <w:rsid w:val="004766B8"/>
    <w:rsid w:val="00477479"/>
    <w:rsid w:val="00477731"/>
    <w:rsid w:val="004802DF"/>
    <w:rsid w:val="00480572"/>
    <w:rsid w:val="00480DEF"/>
    <w:rsid w:val="00481725"/>
    <w:rsid w:val="00481F8B"/>
    <w:rsid w:val="004841F2"/>
    <w:rsid w:val="004851D3"/>
    <w:rsid w:val="00485AB7"/>
    <w:rsid w:val="00487F78"/>
    <w:rsid w:val="0049070F"/>
    <w:rsid w:val="004911DF"/>
    <w:rsid w:val="004919C8"/>
    <w:rsid w:val="00491B10"/>
    <w:rsid w:val="0049223F"/>
    <w:rsid w:val="004926BE"/>
    <w:rsid w:val="004926E1"/>
    <w:rsid w:val="00494BFE"/>
    <w:rsid w:val="00495B27"/>
    <w:rsid w:val="00495FE8"/>
    <w:rsid w:val="004A1835"/>
    <w:rsid w:val="004A1AA0"/>
    <w:rsid w:val="004A1C7E"/>
    <w:rsid w:val="004A24D9"/>
    <w:rsid w:val="004A3167"/>
    <w:rsid w:val="004A3F8A"/>
    <w:rsid w:val="004A49F8"/>
    <w:rsid w:val="004A655F"/>
    <w:rsid w:val="004A6836"/>
    <w:rsid w:val="004A72E7"/>
    <w:rsid w:val="004A75FE"/>
    <w:rsid w:val="004A7E21"/>
    <w:rsid w:val="004B2373"/>
    <w:rsid w:val="004B38F8"/>
    <w:rsid w:val="004B395A"/>
    <w:rsid w:val="004B56C6"/>
    <w:rsid w:val="004B5B03"/>
    <w:rsid w:val="004B638C"/>
    <w:rsid w:val="004C035F"/>
    <w:rsid w:val="004C0BBC"/>
    <w:rsid w:val="004C0CD7"/>
    <w:rsid w:val="004C0F98"/>
    <w:rsid w:val="004C3EF3"/>
    <w:rsid w:val="004C5CC8"/>
    <w:rsid w:val="004D0FD4"/>
    <w:rsid w:val="004D324E"/>
    <w:rsid w:val="004D359C"/>
    <w:rsid w:val="004D3BFF"/>
    <w:rsid w:val="004D3EC3"/>
    <w:rsid w:val="004D7041"/>
    <w:rsid w:val="004D73E0"/>
    <w:rsid w:val="004D7CE8"/>
    <w:rsid w:val="004D7EE4"/>
    <w:rsid w:val="004D7FE3"/>
    <w:rsid w:val="004E025A"/>
    <w:rsid w:val="004E08FF"/>
    <w:rsid w:val="004E0CE1"/>
    <w:rsid w:val="004E0FF8"/>
    <w:rsid w:val="004E1323"/>
    <w:rsid w:val="004E14D5"/>
    <w:rsid w:val="004E1C64"/>
    <w:rsid w:val="004E1CCF"/>
    <w:rsid w:val="004E1F02"/>
    <w:rsid w:val="004E23E7"/>
    <w:rsid w:val="004E5958"/>
    <w:rsid w:val="004E5F38"/>
    <w:rsid w:val="004E5F7D"/>
    <w:rsid w:val="004E62AC"/>
    <w:rsid w:val="004E6E25"/>
    <w:rsid w:val="004E777A"/>
    <w:rsid w:val="004F00E2"/>
    <w:rsid w:val="004F0EAB"/>
    <w:rsid w:val="004F17B4"/>
    <w:rsid w:val="004F200F"/>
    <w:rsid w:val="004F2727"/>
    <w:rsid w:val="004F2B0A"/>
    <w:rsid w:val="004F2D5B"/>
    <w:rsid w:val="004F5B4B"/>
    <w:rsid w:val="00500B15"/>
    <w:rsid w:val="00501492"/>
    <w:rsid w:val="005017BD"/>
    <w:rsid w:val="00501C13"/>
    <w:rsid w:val="0050267F"/>
    <w:rsid w:val="0050340B"/>
    <w:rsid w:val="00503F0F"/>
    <w:rsid w:val="0050492F"/>
    <w:rsid w:val="005050A2"/>
    <w:rsid w:val="005056E3"/>
    <w:rsid w:val="00507AE0"/>
    <w:rsid w:val="005105E2"/>
    <w:rsid w:val="00510AD4"/>
    <w:rsid w:val="005123ED"/>
    <w:rsid w:val="00513909"/>
    <w:rsid w:val="00513AB9"/>
    <w:rsid w:val="005168B6"/>
    <w:rsid w:val="00517A51"/>
    <w:rsid w:val="005204FA"/>
    <w:rsid w:val="00520A29"/>
    <w:rsid w:val="005217A4"/>
    <w:rsid w:val="00521BFE"/>
    <w:rsid w:val="00521EC0"/>
    <w:rsid w:val="005220C0"/>
    <w:rsid w:val="00522336"/>
    <w:rsid w:val="005232F6"/>
    <w:rsid w:val="00524796"/>
    <w:rsid w:val="005252B5"/>
    <w:rsid w:val="005253D3"/>
    <w:rsid w:val="00525FFC"/>
    <w:rsid w:val="005260FE"/>
    <w:rsid w:val="00526BC3"/>
    <w:rsid w:val="00527549"/>
    <w:rsid w:val="00531089"/>
    <w:rsid w:val="00531B17"/>
    <w:rsid w:val="00531F4F"/>
    <w:rsid w:val="005326DB"/>
    <w:rsid w:val="0053333B"/>
    <w:rsid w:val="00533BE5"/>
    <w:rsid w:val="005341A1"/>
    <w:rsid w:val="00535D48"/>
    <w:rsid w:val="00536564"/>
    <w:rsid w:val="00536D76"/>
    <w:rsid w:val="00537193"/>
    <w:rsid w:val="00537702"/>
    <w:rsid w:val="00540441"/>
    <w:rsid w:val="005412CF"/>
    <w:rsid w:val="00541947"/>
    <w:rsid w:val="00542CD4"/>
    <w:rsid w:val="00542CF2"/>
    <w:rsid w:val="00542EDA"/>
    <w:rsid w:val="00543FEF"/>
    <w:rsid w:val="005441CD"/>
    <w:rsid w:val="0054432C"/>
    <w:rsid w:val="00544CC3"/>
    <w:rsid w:val="005462CE"/>
    <w:rsid w:val="00546BBB"/>
    <w:rsid w:val="00546C22"/>
    <w:rsid w:val="00547614"/>
    <w:rsid w:val="005479C2"/>
    <w:rsid w:val="00550335"/>
    <w:rsid w:val="0055180C"/>
    <w:rsid w:val="0055271D"/>
    <w:rsid w:val="00552A7F"/>
    <w:rsid w:val="00552E6A"/>
    <w:rsid w:val="0055389A"/>
    <w:rsid w:val="0055468C"/>
    <w:rsid w:val="00555010"/>
    <w:rsid w:val="005559BD"/>
    <w:rsid w:val="005567B6"/>
    <w:rsid w:val="00556AFF"/>
    <w:rsid w:val="00560242"/>
    <w:rsid w:val="00560ED1"/>
    <w:rsid w:val="005610DC"/>
    <w:rsid w:val="005615FB"/>
    <w:rsid w:val="0056161D"/>
    <w:rsid w:val="0056362F"/>
    <w:rsid w:val="00563B18"/>
    <w:rsid w:val="0056436B"/>
    <w:rsid w:val="005648A8"/>
    <w:rsid w:val="0056525F"/>
    <w:rsid w:val="0056562B"/>
    <w:rsid w:val="00565942"/>
    <w:rsid w:val="00567987"/>
    <w:rsid w:val="00567FFC"/>
    <w:rsid w:val="005708A4"/>
    <w:rsid w:val="00570AE2"/>
    <w:rsid w:val="00571B46"/>
    <w:rsid w:val="005751E8"/>
    <w:rsid w:val="00575B23"/>
    <w:rsid w:val="00575C0A"/>
    <w:rsid w:val="00575FF6"/>
    <w:rsid w:val="00576101"/>
    <w:rsid w:val="00577C3A"/>
    <w:rsid w:val="0058004F"/>
    <w:rsid w:val="00580D08"/>
    <w:rsid w:val="00581A8A"/>
    <w:rsid w:val="00581FDC"/>
    <w:rsid w:val="00582317"/>
    <w:rsid w:val="00582885"/>
    <w:rsid w:val="00583605"/>
    <w:rsid w:val="005846A3"/>
    <w:rsid w:val="00585549"/>
    <w:rsid w:val="0058576F"/>
    <w:rsid w:val="00585AD7"/>
    <w:rsid w:val="00585BF1"/>
    <w:rsid w:val="00586305"/>
    <w:rsid w:val="005866AC"/>
    <w:rsid w:val="00587E07"/>
    <w:rsid w:val="0059034D"/>
    <w:rsid w:val="005906AD"/>
    <w:rsid w:val="00590989"/>
    <w:rsid w:val="00592266"/>
    <w:rsid w:val="00592839"/>
    <w:rsid w:val="005937F4"/>
    <w:rsid w:val="005948DF"/>
    <w:rsid w:val="00597671"/>
    <w:rsid w:val="005A1914"/>
    <w:rsid w:val="005A19A5"/>
    <w:rsid w:val="005A3D47"/>
    <w:rsid w:val="005A5613"/>
    <w:rsid w:val="005A6457"/>
    <w:rsid w:val="005A68D6"/>
    <w:rsid w:val="005B0C89"/>
    <w:rsid w:val="005B0FD8"/>
    <w:rsid w:val="005B102C"/>
    <w:rsid w:val="005B3B68"/>
    <w:rsid w:val="005B46BC"/>
    <w:rsid w:val="005B5464"/>
    <w:rsid w:val="005B6B51"/>
    <w:rsid w:val="005B6F99"/>
    <w:rsid w:val="005C0ACD"/>
    <w:rsid w:val="005C15EC"/>
    <w:rsid w:val="005C1CF8"/>
    <w:rsid w:val="005C3CDA"/>
    <w:rsid w:val="005C55B0"/>
    <w:rsid w:val="005D01F7"/>
    <w:rsid w:val="005D07DB"/>
    <w:rsid w:val="005D0CBF"/>
    <w:rsid w:val="005D1B0C"/>
    <w:rsid w:val="005D1C8F"/>
    <w:rsid w:val="005D48AD"/>
    <w:rsid w:val="005D4EA8"/>
    <w:rsid w:val="005D5345"/>
    <w:rsid w:val="005D5F10"/>
    <w:rsid w:val="005E07F9"/>
    <w:rsid w:val="005E0A31"/>
    <w:rsid w:val="005E0F61"/>
    <w:rsid w:val="005E13B6"/>
    <w:rsid w:val="005E1D84"/>
    <w:rsid w:val="005E608C"/>
    <w:rsid w:val="005E64A5"/>
    <w:rsid w:val="005E660E"/>
    <w:rsid w:val="005E694F"/>
    <w:rsid w:val="005E73C2"/>
    <w:rsid w:val="005E7590"/>
    <w:rsid w:val="005E75D6"/>
    <w:rsid w:val="005E7A58"/>
    <w:rsid w:val="005E7D72"/>
    <w:rsid w:val="005F0660"/>
    <w:rsid w:val="005F10FF"/>
    <w:rsid w:val="005F1365"/>
    <w:rsid w:val="005F1736"/>
    <w:rsid w:val="005F2826"/>
    <w:rsid w:val="005F341B"/>
    <w:rsid w:val="005F45BC"/>
    <w:rsid w:val="005F4EEE"/>
    <w:rsid w:val="005F500B"/>
    <w:rsid w:val="005F5965"/>
    <w:rsid w:val="005F77DC"/>
    <w:rsid w:val="00602C06"/>
    <w:rsid w:val="006032F5"/>
    <w:rsid w:val="00603CEC"/>
    <w:rsid w:val="00603EE3"/>
    <w:rsid w:val="00603F8A"/>
    <w:rsid w:val="006040DC"/>
    <w:rsid w:val="0060461D"/>
    <w:rsid w:val="00605F0B"/>
    <w:rsid w:val="00606974"/>
    <w:rsid w:val="00606DB0"/>
    <w:rsid w:val="0061047F"/>
    <w:rsid w:val="00610976"/>
    <w:rsid w:val="00610CD3"/>
    <w:rsid w:val="00611138"/>
    <w:rsid w:val="00611C98"/>
    <w:rsid w:val="0061401C"/>
    <w:rsid w:val="006147B1"/>
    <w:rsid w:val="00615ECC"/>
    <w:rsid w:val="00615F2A"/>
    <w:rsid w:val="00620A80"/>
    <w:rsid w:val="00621B0C"/>
    <w:rsid w:val="00623386"/>
    <w:rsid w:val="00625D49"/>
    <w:rsid w:val="006278DB"/>
    <w:rsid w:val="00630466"/>
    <w:rsid w:val="006309D5"/>
    <w:rsid w:val="00631A9E"/>
    <w:rsid w:val="00632A00"/>
    <w:rsid w:val="00633419"/>
    <w:rsid w:val="00633992"/>
    <w:rsid w:val="006341D7"/>
    <w:rsid w:val="0063427B"/>
    <w:rsid w:val="00636ABB"/>
    <w:rsid w:val="00642992"/>
    <w:rsid w:val="006435F2"/>
    <w:rsid w:val="006439ED"/>
    <w:rsid w:val="00643A45"/>
    <w:rsid w:val="0064412D"/>
    <w:rsid w:val="00645C41"/>
    <w:rsid w:val="00646503"/>
    <w:rsid w:val="00650315"/>
    <w:rsid w:val="00650474"/>
    <w:rsid w:val="00651167"/>
    <w:rsid w:val="00651317"/>
    <w:rsid w:val="00652342"/>
    <w:rsid w:val="00652EE2"/>
    <w:rsid w:val="006532EE"/>
    <w:rsid w:val="00653AA6"/>
    <w:rsid w:val="0065677E"/>
    <w:rsid w:val="006574AC"/>
    <w:rsid w:val="0065756C"/>
    <w:rsid w:val="00657CD8"/>
    <w:rsid w:val="00657DC4"/>
    <w:rsid w:val="00657E59"/>
    <w:rsid w:val="00660057"/>
    <w:rsid w:val="00663595"/>
    <w:rsid w:val="00664373"/>
    <w:rsid w:val="00664F58"/>
    <w:rsid w:val="0066572F"/>
    <w:rsid w:val="006665FF"/>
    <w:rsid w:val="00666F60"/>
    <w:rsid w:val="006677B0"/>
    <w:rsid w:val="00670E07"/>
    <w:rsid w:val="00670EB5"/>
    <w:rsid w:val="00672BF8"/>
    <w:rsid w:val="00672D02"/>
    <w:rsid w:val="00674C2E"/>
    <w:rsid w:val="00675D43"/>
    <w:rsid w:val="00675E10"/>
    <w:rsid w:val="00677DB8"/>
    <w:rsid w:val="00682450"/>
    <w:rsid w:val="0068274B"/>
    <w:rsid w:val="00683331"/>
    <w:rsid w:val="006838B1"/>
    <w:rsid w:val="0068534C"/>
    <w:rsid w:val="00685409"/>
    <w:rsid w:val="00685E74"/>
    <w:rsid w:val="00686679"/>
    <w:rsid w:val="00686710"/>
    <w:rsid w:val="006918C0"/>
    <w:rsid w:val="00692BE9"/>
    <w:rsid w:val="00694768"/>
    <w:rsid w:val="006950BA"/>
    <w:rsid w:val="0069510E"/>
    <w:rsid w:val="00696194"/>
    <w:rsid w:val="006971E6"/>
    <w:rsid w:val="006978A7"/>
    <w:rsid w:val="006A0312"/>
    <w:rsid w:val="006A082C"/>
    <w:rsid w:val="006A1E47"/>
    <w:rsid w:val="006A2715"/>
    <w:rsid w:val="006A3B18"/>
    <w:rsid w:val="006A42FC"/>
    <w:rsid w:val="006A46D8"/>
    <w:rsid w:val="006A5CC7"/>
    <w:rsid w:val="006A695D"/>
    <w:rsid w:val="006A6D20"/>
    <w:rsid w:val="006A773B"/>
    <w:rsid w:val="006A7925"/>
    <w:rsid w:val="006B07A7"/>
    <w:rsid w:val="006B089C"/>
    <w:rsid w:val="006B157C"/>
    <w:rsid w:val="006B2B81"/>
    <w:rsid w:val="006B2CDA"/>
    <w:rsid w:val="006B3E48"/>
    <w:rsid w:val="006B4135"/>
    <w:rsid w:val="006B629C"/>
    <w:rsid w:val="006B69EF"/>
    <w:rsid w:val="006B6BFF"/>
    <w:rsid w:val="006B6DB1"/>
    <w:rsid w:val="006B7B54"/>
    <w:rsid w:val="006B7E91"/>
    <w:rsid w:val="006C1B27"/>
    <w:rsid w:val="006C1B7E"/>
    <w:rsid w:val="006C3652"/>
    <w:rsid w:val="006C3706"/>
    <w:rsid w:val="006C4F9A"/>
    <w:rsid w:val="006C53D9"/>
    <w:rsid w:val="006C5FEC"/>
    <w:rsid w:val="006C6B1A"/>
    <w:rsid w:val="006C70D0"/>
    <w:rsid w:val="006D0207"/>
    <w:rsid w:val="006D052C"/>
    <w:rsid w:val="006D08D1"/>
    <w:rsid w:val="006D1BC8"/>
    <w:rsid w:val="006D1FB0"/>
    <w:rsid w:val="006D20FC"/>
    <w:rsid w:val="006D23C0"/>
    <w:rsid w:val="006D3C8C"/>
    <w:rsid w:val="006D3F44"/>
    <w:rsid w:val="006D4CFC"/>
    <w:rsid w:val="006D4FDF"/>
    <w:rsid w:val="006D5442"/>
    <w:rsid w:val="006D5727"/>
    <w:rsid w:val="006E004C"/>
    <w:rsid w:val="006E0515"/>
    <w:rsid w:val="006E14E0"/>
    <w:rsid w:val="006E1667"/>
    <w:rsid w:val="006E2151"/>
    <w:rsid w:val="006E264F"/>
    <w:rsid w:val="006E398F"/>
    <w:rsid w:val="006E52DB"/>
    <w:rsid w:val="006E5D79"/>
    <w:rsid w:val="006F04B1"/>
    <w:rsid w:val="006F1A2F"/>
    <w:rsid w:val="006F1E60"/>
    <w:rsid w:val="006F20FE"/>
    <w:rsid w:val="006F2B7B"/>
    <w:rsid w:val="006F2D3F"/>
    <w:rsid w:val="006F34EB"/>
    <w:rsid w:val="006F3766"/>
    <w:rsid w:val="006F4582"/>
    <w:rsid w:val="006F49B8"/>
    <w:rsid w:val="006F5BD6"/>
    <w:rsid w:val="006F5F97"/>
    <w:rsid w:val="006F640B"/>
    <w:rsid w:val="006F6E06"/>
    <w:rsid w:val="007006CD"/>
    <w:rsid w:val="00700A63"/>
    <w:rsid w:val="00701F24"/>
    <w:rsid w:val="0070248D"/>
    <w:rsid w:val="00702F58"/>
    <w:rsid w:val="00704F2C"/>
    <w:rsid w:val="00705415"/>
    <w:rsid w:val="00707233"/>
    <w:rsid w:val="007100CD"/>
    <w:rsid w:val="00710A6C"/>
    <w:rsid w:val="00712241"/>
    <w:rsid w:val="00712833"/>
    <w:rsid w:val="0071291C"/>
    <w:rsid w:val="0071291D"/>
    <w:rsid w:val="00712DA6"/>
    <w:rsid w:val="00713BDE"/>
    <w:rsid w:val="00714F32"/>
    <w:rsid w:val="00715148"/>
    <w:rsid w:val="00716832"/>
    <w:rsid w:val="0071703B"/>
    <w:rsid w:val="007173F7"/>
    <w:rsid w:val="007174E0"/>
    <w:rsid w:val="007200D9"/>
    <w:rsid w:val="00720DD2"/>
    <w:rsid w:val="00721B1C"/>
    <w:rsid w:val="007254F0"/>
    <w:rsid w:val="00726D56"/>
    <w:rsid w:val="00727549"/>
    <w:rsid w:val="007277E3"/>
    <w:rsid w:val="0073083B"/>
    <w:rsid w:val="00730D67"/>
    <w:rsid w:val="00730E1D"/>
    <w:rsid w:val="00731308"/>
    <w:rsid w:val="00731460"/>
    <w:rsid w:val="00731705"/>
    <w:rsid w:val="007318CC"/>
    <w:rsid w:val="00731C02"/>
    <w:rsid w:val="0073391E"/>
    <w:rsid w:val="00733F3C"/>
    <w:rsid w:val="00733FF4"/>
    <w:rsid w:val="00735262"/>
    <w:rsid w:val="007355FD"/>
    <w:rsid w:val="00735AB7"/>
    <w:rsid w:val="00735FE9"/>
    <w:rsid w:val="0073624B"/>
    <w:rsid w:val="007374CE"/>
    <w:rsid w:val="00737715"/>
    <w:rsid w:val="00737ED2"/>
    <w:rsid w:val="007433BB"/>
    <w:rsid w:val="00744A9C"/>
    <w:rsid w:val="00744EFA"/>
    <w:rsid w:val="00745BD7"/>
    <w:rsid w:val="00746565"/>
    <w:rsid w:val="00747C9E"/>
    <w:rsid w:val="00747E94"/>
    <w:rsid w:val="007508B1"/>
    <w:rsid w:val="00750A71"/>
    <w:rsid w:val="0075262B"/>
    <w:rsid w:val="00752C67"/>
    <w:rsid w:val="00754137"/>
    <w:rsid w:val="007553AB"/>
    <w:rsid w:val="007555BD"/>
    <w:rsid w:val="00755C3E"/>
    <w:rsid w:val="00756446"/>
    <w:rsid w:val="0075724F"/>
    <w:rsid w:val="00757B97"/>
    <w:rsid w:val="007600FB"/>
    <w:rsid w:val="007607D5"/>
    <w:rsid w:val="00762920"/>
    <w:rsid w:val="00762FF3"/>
    <w:rsid w:val="0076349D"/>
    <w:rsid w:val="00763573"/>
    <w:rsid w:val="00764CD3"/>
    <w:rsid w:val="00764EA4"/>
    <w:rsid w:val="00765F83"/>
    <w:rsid w:val="00766ABB"/>
    <w:rsid w:val="00767B05"/>
    <w:rsid w:val="00770762"/>
    <w:rsid w:val="007710A8"/>
    <w:rsid w:val="00771261"/>
    <w:rsid w:val="00773BE0"/>
    <w:rsid w:val="00774037"/>
    <w:rsid w:val="007749F3"/>
    <w:rsid w:val="00776DA9"/>
    <w:rsid w:val="007770DD"/>
    <w:rsid w:val="00777922"/>
    <w:rsid w:val="00777C3B"/>
    <w:rsid w:val="00781248"/>
    <w:rsid w:val="00781393"/>
    <w:rsid w:val="007829F6"/>
    <w:rsid w:val="00782A13"/>
    <w:rsid w:val="00782C2E"/>
    <w:rsid w:val="00782E33"/>
    <w:rsid w:val="00782F4B"/>
    <w:rsid w:val="007837B9"/>
    <w:rsid w:val="00783F90"/>
    <w:rsid w:val="00785B9D"/>
    <w:rsid w:val="00787B8F"/>
    <w:rsid w:val="00791605"/>
    <w:rsid w:val="00791B37"/>
    <w:rsid w:val="00792795"/>
    <w:rsid w:val="007929E0"/>
    <w:rsid w:val="00792E46"/>
    <w:rsid w:val="00794A6E"/>
    <w:rsid w:val="00794BF7"/>
    <w:rsid w:val="007951F3"/>
    <w:rsid w:val="00795CF9"/>
    <w:rsid w:val="007963E9"/>
    <w:rsid w:val="00797F8E"/>
    <w:rsid w:val="007A1D9F"/>
    <w:rsid w:val="007A1E8D"/>
    <w:rsid w:val="007A207C"/>
    <w:rsid w:val="007A2D3E"/>
    <w:rsid w:val="007A50FD"/>
    <w:rsid w:val="007A63D6"/>
    <w:rsid w:val="007A6FDC"/>
    <w:rsid w:val="007A7424"/>
    <w:rsid w:val="007A7BA5"/>
    <w:rsid w:val="007B0288"/>
    <w:rsid w:val="007B0AB9"/>
    <w:rsid w:val="007B1134"/>
    <w:rsid w:val="007B3D1C"/>
    <w:rsid w:val="007B43BD"/>
    <w:rsid w:val="007B4EF0"/>
    <w:rsid w:val="007C021C"/>
    <w:rsid w:val="007C112B"/>
    <w:rsid w:val="007C1A4B"/>
    <w:rsid w:val="007C259B"/>
    <w:rsid w:val="007C3023"/>
    <w:rsid w:val="007C3B9E"/>
    <w:rsid w:val="007C5382"/>
    <w:rsid w:val="007C63BC"/>
    <w:rsid w:val="007C68B4"/>
    <w:rsid w:val="007C71A6"/>
    <w:rsid w:val="007C7413"/>
    <w:rsid w:val="007C7D97"/>
    <w:rsid w:val="007D03D9"/>
    <w:rsid w:val="007D1B5F"/>
    <w:rsid w:val="007D2248"/>
    <w:rsid w:val="007D2742"/>
    <w:rsid w:val="007D304C"/>
    <w:rsid w:val="007D35BC"/>
    <w:rsid w:val="007D4195"/>
    <w:rsid w:val="007D4204"/>
    <w:rsid w:val="007D7AE4"/>
    <w:rsid w:val="007E0DE1"/>
    <w:rsid w:val="007E25EE"/>
    <w:rsid w:val="007E3389"/>
    <w:rsid w:val="007F0228"/>
    <w:rsid w:val="007F18E5"/>
    <w:rsid w:val="007F288A"/>
    <w:rsid w:val="007F2C44"/>
    <w:rsid w:val="007F2CD4"/>
    <w:rsid w:val="007F3475"/>
    <w:rsid w:val="007F353D"/>
    <w:rsid w:val="007F3C10"/>
    <w:rsid w:val="007F46F2"/>
    <w:rsid w:val="007F5554"/>
    <w:rsid w:val="007F6438"/>
    <w:rsid w:val="007F66F5"/>
    <w:rsid w:val="007F6DF2"/>
    <w:rsid w:val="007F759D"/>
    <w:rsid w:val="007F79BE"/>
    <w:rsid w:val="007F7AC4"/>
    <w:rsid w:val="00802099"/>
    <w:rsid w:val="00803739"/>
    <w:rsid w:val="00804355"/>
    <w:rsid w:val="008046B5"/>
    <w:rsid w:val="00805119"/>
    <w:rsid w:val="00805B9B"/>
    <w:rsid w:val="00806545"/>
    <w:rsid w:val="00806D64"/>
    <w:rsid w:val="0080718D"/>
    <w:rsid w:val="00810672"/>
    <w:rsid w:val="00810EF6"/>
    <w:rsid w:val="00811E47"/>
    <w:rsid w:val="0081244D"/>
    <w:rsid w:val="0081254C"/>
    <w:rsid w:val="00812D30"/>
    <w:rsid w:val="008140F3"/>
    <w:rsid w:val="008140F8"/>
    <w:rsid w:val="00815050"/>
    <w:rsid w:val="00815FEB"/>
    <w:rsid w:val="008164B7"/>
    <w:rsid w:val="00816661"/>
    <w:rsid w:val="008171D1"/>
    <w:rsid w:val="00817458"/>
    <w:rsid w:val="00817606"/>
    <w:rsid w:val="00817E1F"/>
    <w:rsid w:val="00820C45"/>
    <w:rsid w:val="00821F01"/>
    <w:rsid w:val="00821FFC"/>
    <w:rsid w:val="00822BB8"/>
    <w:rsid w:val="008261AC"/>
    <w:rsid w:val="008264A6"/>
    <w:rsid w:val="00826896"/>
    <w:rsid w:val="00826D7B"/>
    <w:rsid w:val="0083203B"/>
    <w:rsid w:val="00832827"/>
    <w:rsid w:val="00832971"/>
    <w:rsid w:val="00832C21"/>
    <w:rsid w:val="00833278"/>
    <w:rsid w:val="00833FE8"/>
    <w:rsid w:val="008341EA"/>
    <w:rsid w:val="00834F24"/>
    <w:rsid w:val="0083683B"/>
    <w:rsid w:val="00837A9F"/>
    <w:rsid w:val="00840110"/>
    <w:rsid w:val="00840205"/>
    <w:rsid w:val="00840CAE"/>
    <w:rsid w:val="0084121B"/>
    <w:rsid w:val="008417BF"/>
    <w:rsid w:val="00842081"/>
    <w:rsid w:val="0084273D"/>
    <w:rsid w:val="00842A37"/>
    <w:rsid w:val="00843173"/>
    <w:rsid w:val="00844CA6"/>
    <w:rsid w:val="00844E06"/>
    <w:rsid w:val="00844FF7"/>
    <w:rsid w:val="008470BA"/>
    <w:rsid w:val="0084767A"/>
    <w:rsid w:val="008503DB"/>
    <w:rsid w:val="00850602"/>
    <w:rsid w:val="00850F79"/>
    <w:rsid w:val="008513C4"/>
    <w:rsid w:val="008527F8"/>
    <w:rsid w:val="00853695"/>
    <w:rsid w:val="00853F04"/>
    <w:rsid w:val="008542F4"/>
    <w:rsid w:val="00855E0C"/>
    <w:rsid w:val="008567ED"/>
    <w:rsid w:val="00856C35"/>
    <w:rsid w:val="008570C4"/>
    <w:rsid w:val="00860B29"/>
    <w:rsid w:val="008618C7"/>
    <w:rsid w:val="00862A36"/>
    <w:rsid w:val="008649D7"/>
    <w:rsid w:val="008668C2"/>
    <w:rsid w:val="00866E94"/>
    <w:rsid w:val="0086712C"/>
    <w:rsid w:val="00870365"/>
    <w:rsid w:val="00872E94"/>
    <w:rsid w:val="0087383A"/>
    <w:rsid w:val="0087760F"/>
    <w:rsid w:val="00877AA4"/>
    <w:rsid w:val="00877ADC"/>
    <w:rsid w:val="00877C82"/>
    <w:rsid w:val="0088471A"/>
    <w:rsid w:val="00884C20"/>
    <w:rsid w:val="008856BC"/>
    <w:rsid w:val="0088582D"/>
    <w:rsid w:val="00886408"/>
    <w:rsid w:val="0088719A"/>
    <w:rsid w:val="008871B7"/>
    <w:rsid w:val="00887B4D"/>
    <w:rsid w:val="00887D58"/>
    <w:rsid w:val="0089085E"/>
    <w:rsid w:val="00891301"/>
    <w:rsid w:val="00891D87"/>
    <w:rsid w:val="008921B2"/>
    <w:rsid w:val="008927FD"/>
    <w:rsid w:val="00893F73"/>
    <w:rsid w:val="00894F2A"/>
    <w:rsid w:val="00895383"/>
    <w:rsid w:val="00895622"/>
    <w:rsid w:val="008957AF"/>
    <w:rsid w:val="00896C6D"/>
    <w:rsid w:val="00896FD1"/>
    <w:rsid w:val="008A0233"/>
    <w:rsid w:val="008A1CF0"/>
    <w:rsid w:val="008A1DF5"/>
    <w:rsid w:val="008A2967"/>
    <w:rsid w:val="008A31D0"/>
    <w:rsid w:val="008A4326"/>
    <w:rsid w:val="008A5876"/>
    <w:rsid w:val="008A667B"/>
    <w:rsid w:val="008A6B85"/>
    <w:rsid w:val="008A722F"/>
    <w:rsid w:val="008B0C18"/>
    <w:rsid w:val="008B0C1E"/>
    <w:rsid w:val="008B1F33"/>
    <w:rsid w:val="008B2B04"/>
    <w:rsid w:val="008B30C0"/>
    <w:rsid w:val="008B3111"/>
    <w:rsid w:val="008B39D7"/>
    <w:rsid w:val="008B39FF"/>
    <w:rsid w:val="008B3E5A"/>
    <w:rsid w:val="008B4472"/>
    <w:rsid w:val="008B47CC"/>
    <w:rsid w:val="008B4857"/>
    <w:rsid w:val="008B5B8B"/>
    <w:rsid w:val="008B5C5E"/>
    <w:rsid w:val="008B5E22"/>
    <w:rsid w:val="008B6580"/>
    <w:rsid w:val="008C0318"/>
    <w:rsid w:val="008C063F"/>
    <w:rsid w:val="008C170F"/>
    <w:rsid w:val="008C25CB"/>
    <w:rsid w:val="008C26FD"/>
    <w:rsid w:val="008C4584"/>
    <w:rsid w:val="008C4AE9"/>
    <w:rsid w:val="008C54B0"/>
    <w:rsid w:val="008C6A6C"/>
    <w:rsid w:val="008C74E3"/>
    <w:rsid w:val="008C7D92"/>
    <w:rsid w:val="008D031B"/>
    <w:rsid w:val="008D0494"/>
    <w:rsid w:val="008D06CA"/>
    <w:rsid w:val="008D0E23"/>
    <w:rsid w:val="008D1053"/>
    <w:rsid w:val="008D123D"/>
    <w:rsid w:val="008D1A5B"/>
    <w:rsid w:val="008D248F"/>
    <w:rsid w:val="008D327B"/>
    <w:rsid w:val="008D35FB"/>
    <w:rsid w:val="008D35FE"/>
    <w:rsid w:val="008D3C05"/>
    <w:rsid w:val="008D46AA"/>
    <w:rsid w:val="008D4868"/>
    <w:rsid w:val="008D4CFC"/>
    <w:rsid w:val="008D5309"/>
    <w:rsid w:val="008D57B3"/>
    <w:rsid w:val="008D5929"/>
    <w:rsid w:val="008D5B19"/>
    <w:rsid w:val="008D73DC"/>
    <w:rsid w:val="008E1019"/>
    <w:rsid w:val="008E261E"/>
    <w:rsid w:val="008E3875"/>
    <w:rsid w:val="008E397D"/>
    <w:rsid w:val="008E4E0F"/>
    <w:rsid w:val="008E5C11"/>
    <w:rsid w:val="008E657B"/>
    <w:rsid w:val="008E6FEE"/>
    <w:rsid w:val="008E7584"/>
    <w:rsid w:val="008F0B47"/>
    <w:rsid w:val="008F14B8"/>
    <w:rsid w:val="008F3594"/>
    <w:rsid w:val="008F45BD"/>
    <w:rsid w:val="008F4D2B"/>
    <w:rsid w:val="008F4D81"/>
    <w:rsid w:val="008F65BC"/>
    <w:rsid w:val="008F6F59"/>
    <w:rsid w:val="008F7C81"/>
    <w:rsid w:val="008F7E3F"/>
    <w:rsid w:val="008F7EB6"/>
    <w:rsid w:val="00900526"/>
    <w:rsid w:val="0090053E"/>
    <w:rsid w:val="009005BC"/>
    <w:rsid w:val="00901166"/>
    <w:rsid w:val="00902ACA"/>
    <w:rsid w:val="00902C12"/>
    <w:rsid w:val="00902F92"/>
    <w:rsid w:val="009039C7"/>
    <w:rsid w:val="009048B4"/>
    <w:rsid w:val="00904DED"/>
    <w:rsid w:val="00905034"/>
    <w:rsid w:val="009051EE"/>
    <w:rsid w:val="00905380"/>
    <w:rsid w:val="0090565C"/>
    <w:rsid w:val="00906258"/>
    <w:rsid w:val="00906883"/>
    <w:rsid w:val="00910140"/>
    <w:rsid w:val="009101E3"/>
    <w:rsid w:val="0091066B"/>
    <w:rsid w:val="009109C9"/>
    <w:rsid w:val="00910CB8"/>
    <w:rsid w:val="00910F83"/>
    <w:rsid w:val="00910FAA"/>
    <w:rsid w:val="00910FCF"/>
    <w:rsid w:val="009120B8"/>
    <w:rsid w:val="00912D0E"/>
    <w:rsid w:val="00912D95"/>
    <w:rsid w:val="00913BF9"/>
    <w:rsid w:val="00914821"/>
    <w:rsid w:val="00915D35"/>
    <w:rsid w:val="00916FC6"/>
    <w:rsid w:val="009203DC"/>
    <w:rsid w:val="00921AEF"/>
    <w:rsid w:val="009231CE"/>
    <w:rsid w:val="0092446C"/>
    <w:rsid w:val="009249DD"/>
    <w:rsid w:val="00926486"/>
    <w:rsid w:val="00930D49"/>
    <w:rsid w:val="00931CC4"/>
    <w:rsid w:val="00933B5D"/>
    <w:rsid w:val="00933C4B"/>
    <w:rsid w:val="00933F23"/>
    <w:rsid w:val="00933FAC"/>
    <w:rsid w:val="00934234"/>
    <w:rsid w:val="00934B7B"/>
    <w:rsid w:val="009351C5"/>
    <w:rsid w:val="0093574C"/>
    <w:rsid w:val="0093628B"/>
    <w:rsid w:val="00940A49"/>
    <w:rsid w:val="00940CE4"/>
    <w:rsid w:val="009420A9"/>
    <w:rsid w:val="0094280D"/>
    <w:rsid w:val="009432D0"/>
    <w:rsid w:val="0094627D"/>
    <w:rsid w:val="0094628F"/>
    <w:rsid w:val="009478A6"/>
    <w:rsid w:val="00950485"/>
    <w:rsid w:val="00951E3B"/>
    <w:rsid w:val="00953788"/>
    <w:rsid w:val="0095483A"/>
    <w:rsid w:val="00954884"/>
    <w:rsid w:val="00955081"/>
    <w:rsid w:val="00955F22"/>
    <w:rsid w:val="009613E3"/>
    <w:rsid w:val="00961A4B"/>
    <w:rsid w:val="009623C9"/>
    <w:rsid w:val="0096250B"/>
    <w:rsid w:val="009630FB"/>
    <w:rsid w:val="00963755"/>
    <w:rsid w:val="00964462"/>
    <w:rsid w:val="0096668F"/>
    <w:rsid w:val="009668ED"/>
    <w:rsid w:val="00966B8D"/>
    <w:rsid w:val="0096708F"/>
    <w:rsid w:val="00970423"/>
    <w:rsid w:val="00971AB9"/>
    <w:rsid w:val="00971C56"/>
    <w:rsid w:val="00972DB7"/>
    <w:rsid w:val="0097310A"/>
    <w:rsid w:val="00973E1A"/>
    <w:rsid w:val="0097406D"/>
    <w:rsid w:val="00974823"/>
    <w:rsid w:val="00974A47"/>
    <w:rsid w:val="00974B5F"/>
    <w:rsid w:val="00974D21"/>
    <w:rsid w:val="00975233"/>
    <w:rsid w:val="009757BB"/>
    <w:rsid w:val="009761FF"/>
    <w:rsid w:val="00976AA5"/>
    <w:rsid w:val="009805E9"/>
    <w:rsid w:val="00981B09"/>
    <w:rsid w:val="00981C43"/>
    <w:rsid w:val="009825B7"/>
    <w:rsid w:val="009831BA"/>
    <w:rsid w:val="009836FE"/>
    <w:rsid w:val="009846D2"/>
    <w:rsid w:val="00984718"/>
    <w:rsid w:val="00985092"/>
    <w:rsid w:val="0098513C"/>
    <w:rsid w:val="00985346"/>
    <w:rsid w:val="00985521"/>
    <w:rsid w:val="00985B95"/>
    <w:rsid w:val="00985C8A"/>
    <w:rsid w:val="00986307"/>
    <w:rsid w:val="00986AD1"/>
    <w:rsid w:val="009872B2"/>
    <w:rsid w:val="00990366"/>
    <w:rsid w:val="00990B4F"/>
    <w:rsid w:val="00991A48"/>
    <w:rsid w:val="00992340"/>
    <w:rsid w:val="0099285F"/>
    <w:rsid w:val="00994C86"/>
    <w:rsid w:val="009952CC"/>
    <w:rsid w:val="00997F54"/>
    <w:rsid w:val="009A12B4"/>
    <w:rsid w:val="009A2BB1"/>
    <w:rsid w:val="009A2DBB"/>
    <w:rsid w:val="009A4209"/>
    <w:rsid w:val="009A4445"/>
    <w:rsid w:val="009A4B77"/>
    <w:rsid w:val="009A6596"/>
    <w:rsid w:val="009A66F3"/>
    <w:rsid w:val="009B1771"/>
    <w:rsid w:val="009B1A13"/>
    <w:rsid w:val="009B2F13"/>
    <w:rsid w:val="009B488B"/>
    <w:rsid w:val="009B5DCB"/>
    <w:rsid w:val="009B614C"/>
    <w:rsid w:val="009C01CB"/>
    <w:rsid w:val="009C01DE"/>
    <w:rsid w:val="009C2CE8"/>
    <w:rsid w:val="009C3623"/>
    <w:rsid w:val="009C3A3B"/>
    <w:rsid w:val="009C428B"/>
    <w:rsid w:val="009C5A7C"/>
    <w:rsid w:val="009C6B29"/>
    <w:rsid w:val="009D09A3"/>
    <w:rsid w:val="009D11DB"/>
    <w:rsid w:val="009D1AF7"/>
    <w:rsid w:val="009D1B1D"/>
    <w:rsid w:val="009D25DC"/>
    <w:rsid w:val="009D2A32"/>
    <w:rsid w:val="009D3350"/>
    <w:rsid w:val="009D38ED"/>
    <w:rsid w:val="009D496D"/>
    <w:rsid w:val="009D76CD"/>
    <w:rsid w:val="009E02AC"/>
    <w:rsid w:val="009E045B"/>
    <w:rsid w:val="009E21B8"/>
    <w:rsid w:val="009E2C68"/>
    <w:rsid w:val="009E3414"/>
    <w:rsid w:val="009E4226"/>
    <w:rsid w:val="009E4CDE"/>
    <w:rsid w:val="009E650E"/>
    <w:rsid w:val="009E67CC"/>
    <w:rsid w:val="009E75B3"/>
    <w:rsid w:val="009E7614"/>
    <w:rsid w:val="009E7BA4"/>
    <w:rsid w:val="009F0043"/>
    <w:rsid w:val="009F1357"/>
    <w:rsid w:val="009F2CC1"/>
    <w:rsid w:val="009F2F4B"/>
    <w:rsid w:val="009F385B"/>
    <w:rsid w:val="009F393B"/>
    <w:rsid w:val="009F3975"/>
    <w:rsid w:val="009F3E5E"/>
    <w:rsid w:val="009F40F9"/>
    <w:rsid w:val="009F537C"/>
    <w:rsid w:val="00A00793"/>
    <w:rsid w:val="00A01CE1"/>
    <w:rsid w:val="00A02083"/>
    <w:rsid w:val="00A02BC3"/>
    <w:rsid w:val="00A059EE"/>
    <w:rsid w:val="00A05C6E"/>
    <w:rsid w:val="00A05FD4"/>
    <w:rsid w:val="00A065CF"/>
    <w:rsid w:val="00A067DF"/>
    <w:rsid w:val="00A07D53"/>
    <w:rsid w:val="00A11AE2"/>
    <w:rsid w:val="00A13A81"/>
    <w:rsid w:val="00A13A8E"/>
    <w:rsid w:val="00A14BC6"/>
    <w:rsid w:val="00A15982"/>
    <w:rsid w:val="00A164BE"/>
    <w:rsid w:val="00A17A8D"/>
    <w:rsid w:val="00A21246"/>
    <w:rsid w:val="00A21DF9"/>
    <w:rsid w:val="00A23A07"/>
    <w:rsid w:val="00A23F9B"/>
    <w:rsid w:val="00A25565"/>
    <w:rsid w:val="00A2697C"/>
    <w:rsid w:val="00A2706E"/>
    <w:rsid w:val="00A2779B"/>
    <w:rsid w:val="00A30B5C"/>
    <w:rsid w:val="00A31438"/>
    <w:rsid w:val="00A322A4"/>
    <w:rsid w:val="00A32CFC"/>
    <w:rsid w:val="00A32DE4"/>
    <w:rsid w:val="00A33C42"/>
    <w:rsid w:val="00A33E9E"/>
    <w:rsid w:val="00A34E62"/>
    <w:rsid w:val="00A358B2"/>
    <w:rsid w:val="00A37999"/>
    <w:rsid w:val="00A40459"/>
    <w:rsid w:val="00A407D3"/>
    <w:rsid w:val="00A4100A"/>
    <w:rsid w:val="00A41697"/>
    <w:rsid w:val="00A41AB2"/>
    <w:rsid w:val="00A41C25"/>
    <w:rsid w:val="00A41D82"/>
    <w:rsid w:val="00A42D6F"/>
    <w:rsid w:val="00A4326E"/>
    <w:rsid w:val="00A45133"/>
    <w:rsid w:val="00A5171D"/>
    <w:rsid w:val="00A5223E"/>
    <w:rsid w:val="00A526E6"/>
    <w:rsid w:val="00A530EA"/>
    <w:rsid w:val="00A53453"/>
    <w:rsid w:val="00A53C8C"/>
    <w:rsid w:val="00A53EBD"/>
    <w:rsid w:val="00A5472F"/>
    <w:rsid w:val="00A55597"/>
    <w:rsid w:val="00A561E0"/>
    <w:rsid w:val="00A56272"/>
    <w:rsid w:val="00A562BD"/>
    <w:rsid w:val="00A56FE0"/>
    <w:rsid w:val="00A57619"/>
    <w:rsid w:val="00A60E57"/>
    <w:rsid w:val="00A61601"/>
    <w:rsid w:val="00A61C26"/>
    <w:rsid w:val="00A6417E"/>
    <w:rsid w:val="00A673E7"/>
    <w:rsid w:val="00A67FB5"/>
    <w:rsid w:val="00A701FD"/>
    <w:rsid w:val="00A71349"/>
    <w:rsid w:val="00A7165A"/>
    <w:rsid w:val="00A71FAA"/>
    <w:rsid w:val="00A72FBB"/>
    <w:rsid w:val="00A731B5"/>
    <w:rsid w:val="00A7396F"/>
    <w:rsid w:val="00A74572"/>
    <w:rsid w:val="00A755A6"/>
    <w:rsid w:val="00A75C52"/>
    <w:rsid w:val="00A75EA1"/>
    <w:rsid w:val="00A76316"/>
    <w:rsid w:val="00A7638A"/>
    <w:rsid w:val="00A769FE"/>
    <w:rsid w:val="00A76A09"/>
    <w:rsid w:val="00A775F1"/>
    <w:rsid w:val="00A80E0B"/>
    <w:rsid w:val="00A810BD"/>
    <w:rsid w:val="00A826B5"/>
    <w:rsid w:val="00A83D8D"/>
    <w:rsid w:val="00A841FC"/>
    <w:rsid w:val="00A85105"/>
    <w:rsid w:val="00A8523E"/>
    <w:rsid w:val="00A87169"/>
    <w:rsid w:val="00A87879"/>
    <w:rsid w:val="00A90480"/>
    <w:rsid w:val="00A90561"/>
    <w:rsid w:val="00A91D23"/>
    <w:rsid w:val="00A93251"/>
    <w:rsid w:val="00A938F7"/>
    <w:rsid w:val="00A94B9C"/>
    <w:rsid w:val="00A94BB0"/>
    <w:rsid w:val="00A955EA"/>
    <w:rsid w:val="00A9564E"/>
    <w:rsid w:val="00A959B2"/>
    <w:rsid w:val="00A96839"/>
    <w:rsid w:val="00A9764A"/>
    <w:rsid w:val="00A979C5"/>
    <w:rsid w:val="00A97DA5"/>
    <w:rsid w:val="00AA20F7"/>
    <w:rsid w:val="00AA396E"/>
    <w:rsid w:val="00AA3A3A"/>
    <w:rsid w:val="00AA5602"/>
    <w:rsid w:val="00AA5A11"/>
    <w:rsid w:val="00AA6052"/>
    <w:rsid w:val="00AA6C96"/>
    <w:rsid w:val="00AA788D"/>
    <w:rsid w:val="00AA791B"/>
    <w:rsid w:val="00AB0FB3"/>
    <w:rsid w:val="00AB15AC"/>
    <w:rsid w:val="00AB2242"/>
    <w:rsid w:val="00AB2D3F"/>
    <w:rsid w:val="00AB334F"/>
    <w:rsid w:val="00AB365B"/>
    <w:rsid w:val="00AB3FF8"/>
    <w:rsid w:val="00AB4A2F"/>
    <w:rsid w:val="00AB4C88"/>
    <w:rsid w:val="00AB716F"/>
    <w:rsid w:val="00AB79E6"/>
    <w:rsid w:val="00AC024F"/>
    <w:rsid w:val="00AC0618"/>
    <w:rsid w:val="00AC06EE"/>
    <w:rsid w:val="00AC0C86"/>
    <w:rsid w:val="00AC24A3"/>
    <w:rsid w:val="00AC2925"/>
    <w:rsid w:val="00AC36F2"/>
    <w:rsid w:val="00AC3724"/>
    <w:rsid w:val="00AC4004"/>
    <w:rsid w:val="00AC4EAD"/>
    <w:rsid w:val="00AC509B"/>
    <w:rsid w:val="00AC5398"/>
    <w:rsid w:val="00AC6C29"/>
    <w:rsid w:val="00AD08B8"/>
    <w:rsid w:val="00AD0918"/>
    <w:rsid w:val="00AD0976"/>
    <w:rsid w:val="00AD13CB"/>
    <w:rsid w:val="00AD281C"/>
    <w:rsid w:val="00AD2EC8"/>
    <w:rsid w:val="00AD337C"/>
    <w:rsid w:val="00AD38F9"/>
    <w:rsid w:val="00AD4398"/>
    <w:rsid w:val="00AD4A5F"/>
    <w:rsid w:val="00AD4D1A"/>
    <w:rsid w:val="00AD73AA"/>
    <w:rsid w:val="00AE0A08"/>
    <w:rsid w:val="00AE1584"/>
    <w:rsid w:val="00AE2F73"/>
    <w:rsid w:val="00AE3327"/>
    <w:rsid w:val="00AE3CBD"/>
    <w:rsid w:val="00AE3E55"/>
    <w:rsid w:val="00AE4BFA"/>
    <w:rsid w:val="00AE5E5C"/>
    <w:rsid w:val="00AE6733"/>
    <w:rsid w:val="00AE6ABF"/>
    <w:rsid w:val="00AE6CC5"/>
    <w:rsid w:val="00AE7BED"/>
    <w:rsid w:val="00AF043E"/>
    <w:rsid w:val="00AF0872"/>
    <w:rsid w:val="00AF0B6E"/>
    <w:rsid w:val="00AF33DA"/>
    <w:rsid w:val="00AF350E"/>
    <w:rsid w:val="00AF5145"/>
    <w:rsid w:val="00AF5528"/>
    <w:rsid w:val="00AF5799"/>
    <w:rsid w:val="00AF58BD"/>
    <w:rsid w:val="00AF5D60"/>
    <w:rsid w:val="00AF6F1B"/>
    <w:rsid w:val="00AF7D57"/>
    <w:rsid w:val="00B03E9D"/>
    <w:rsid w:val="00B03F24"/>
    <w:rsid w:val="00B0517F"/>
    <w:rsid w:val="00B0621A"/>
    <w:rsid w:val="00B0675D"/>
    <w:rsid w:val="00B06886"/>
    <w:rsid w:val="00B0783D"/>
    <w:rsid w:val="00B078E9"/>
    <w:rsid w:val="00B109BA"/>
    <w:rsid w:val="00B11DF1"/>
    <w:rsid w:val="00B1318B"/>
    <w:rsid w:val="00B14726"/>
    <w:rsid w:val="00B14939"/>
    <w:rsid w:val="00B14F6E"/>
    <w:rsid w:val="00B1603D"/>
    <w:rsid w:val="00B160CF"/>
    <w:rsid w:val="00B167C2"/>
    <w:rsid w:val="00B17726"/>
    <w:rsid w:val="00B17C23"/>
    <w:rsid w:val="00B17FA7"/>
    <w:rsid w:val="00B20646"/>
    <w:rsid w:val="00B215BD"/>
    <w:rsid w:val="00B22CDB"/>
    <w:rsid w:val="00B23118"/>
    <w:rsid w:val="00B2335C"/>
    <w:rsid w:val="00B238A4"/>
    <w:rsid w:val="00B23C6D"/>
    <w:rsid w:val="00B2411E"/>
    <w:rsid w:val="00B2514B"/>
    <w:rsid w:val="00B305C5"/>
    <w:rsid w:val="00B30CC9"/>
    <w:rsid w:val="00B31353"/>
    <w:rsid w:val="00B31BE9"/>
    <w:rsid w:val="00B31C8B"/>
    <w:rsid w:val="00B32B29"/>
    <w:rsid w:val="00B32DF2"/>
    <w:rsid w:val="00B32FB0"/>
    <w:rsid w:val="00B362E8"/>
    <w:rsid w:val="00B377CE"/>
    <w:rsid w:val="00B378E9"/>
    <w:rsid w:val="00B37C08"/>
    <w:rsid w:val="00B40116"/>
    <w:rsid w:val="00B41878"/>
    <w:rsid w:val="00B42056"/>
    <w:rsid w:val="00B43229"/>
    <w:rsid w:val="00B4418A"/>
    <w:rsid w:val="00B44D4C"/>
    <w:rsid w:val="00B450C0"/>
    <w:rsid w:val="00B459A4"/>
    <w:rsid w:val="00B463CD"/>
    <w:rsid w:val="00B51165"/>
    <w:rsid w:val="00B513D0"/>
    <w:rsid w:val="00B51564"/>
    <w:rsid w:val="00B53A36"/>
    <w:rsid w:val="00B53D36"/>
    <w:rsid w:val="00B600C3"/>
    <w:rsid w:val="00B606F9"/>
    <w:rsid w:val="00B60788"/>
    <w:rsid w:val="00B6092B"/>
    <w:rsid w:val="00B60DE2"/>
    <w:rsid w:val="00B6101D"/>
    <w:rsid w:val="00B6214D"/>
    <w:rsid w:val="00B62F29"/>
    <w:rsid w:val="00B6307D"/>
    <w:rsid w:val="00B63260"/>
    <w:rsid w:val="00B632E3"/>
    <w:rsid w:val="00B66009"/>
    <w:rsid w:val="00B66B42"/>
    <w:rsid w:val="00B701A3"/>
    <w:rsid w:val="00B71A6C"/>
    <w:rsid w:val="00B71AA6"/>
    <w:rsid w:val="00B7217B"/>
    <w:rsid w:val="00B72260"/>
    <w:rsid w:val="00B72566"/>
    <w:rsid w:val="00B730CE"/>
    <w:rsid w:val="00B7348A"/>
    <w:rsid w:val="00B766A8"/>
    <w:rsid w:val="00B76774"/>
    <w:rsid w:val="00B76B00"/>
    <w:rsid w:val="00B7724B"/>
    <w:rsid w:val="00B77972"/>
    <w:rsid w:val="00B77E10"/>
    <w:rsid w:val="00B80B7B"/>
    <w:rsid w:val="00B80FD1"/>
    <w:rsid w:val="00B81CA2"/>
    <w:rsid w:val="00B81EAD"/>
    <w:rsid w:val="00B8377E"/>
    <w:rsid w:val="00B83DE3"/>
    <w:rsid w:val="00B87F0F"/>
    <w:rsid w:val="00B90F78"/>
    <w:rsid w:val="00B91A38"/>
    <w:rsid w:val="00B92EB3"/>
    <w:rsid w:val="00B93EB5"/>
    <w:rsid w:val="00B94A90"/>
    <w:rsid w:val="00B95FB0"/>
    <w:rsid w:val="00B964EE"/>
    <w:rsid w:val="00B96EC7"/>
    <w:rsid w:val="00B96FBA"/>
    <w:rsid w:val="00BA1793"/>
    <w:rsid w:val="00BA1D8D"/>
    <w:rsid w:val="00BA20B2"/>
    <w:rsid w:val="00BA28D1"/>
    <w:rsid w:val="00BA43F2"/>
    <w:rsid w:val="00BA495D"/>
    <w:rsid w:val="00BA503D"/>
    <w:rsid w:val="00BA6025"/>
    <w:rsid w:val="00BA622D"/>
    <w:rsid w:val="00BA796D"/>
    <w:rsid w:val="00BB0F55"/>
    <w:rsid w:val="00BB1543"/>
    <w:rsid w:val="00BB3A1C"/>
    <w:rsid w:val="00BB4BBA"/>
    <w:rsid w:val="00BB71D1"/>
    <w:rsid w:val="00BC0A2E"/>
    <w:rsid w:val="00BC1395"/>
    <w:rsid w:val="00BC294E"/>
    <w:rsid w:val="00BC2AAA"/>
    <w:rsid w:val="00BC33A3"/>
    <w:rsid w:val="00BC3692"/>
    <w:rsid w:val="00BC55E1"/>
    <w:rsid w:val="00BC716F"/>
    <w:rsid w:val="00BC79FB"/>
    <w:rsid w:val="00BD08ED"/>
    <w:rsid w:val="00BD0DCB"/>
    <w:rsid w:val="00BD0E16"/>
    <w:rsid w:val="00BD29FA"/>
    <w:rsid w:val="00BD40CB"/>
    <w:rsid w:val="00BD4858"/>
    <w:rsid w:val="00BD4FB7"/>
    <w:rsid w:val="00BD704C"/>
    <w:rsid w:val="00BD7AB7"/>
    <w:rsid w:val="00BE1171"/>
    <w:rsid w:val="00BE17FF"/>
    <w:rsid w:val="00BE1ADB"/>
    <w:rsid w:val="00BE1D98"/>
    <w:rsid w:val="00BE26D3"/>
    <w:rsid w:val="00BE64DD"/>
    <w:rsid w:val="00BE6BC7"/>
    <w:rsid w:val="00BF00F5"/>
    <w:rsid w:val="00BF1601"/>
    <w:rsid w:val="00BF1991"/>
    <w:rsid w:val="00BF21C6"/>
    <w:rsid w:val="00BF22DE"/>
    <w:rsid w:val="00BF2A05"/>
    <w:rsid w:val="00BF57CF"/>
    <w:rsid w:val="00BF5AD5"/>
    <w:rsid w:val="00BF5D0C"/>
    <w:rsid w:val="00BF66DE"/>
    <w:rsid w:val="00BF688F"/>
    <w:rsid w:val="00BF799D"/>
    <w:rsid w:val="00BF7C0E"/>
    <w:rsid w:val="00C00A60"/>
    <w:rsid w:val="00C01672"/>
    <w:rsid w:val="00C0190F"/>
    <w:rsid w:val="00C03680"/>
    <w:rsid w:val="00C03D27"/>
    <w:rsid w:val="00C03D6D"/>
    <w:rsid w:val="00C047E5"/>
    <w:rsid w:val="00C06873"/>
    <w:rsid w:val="00C10070"/>
    <w:rsid w:val="00C1092E"/>
    <w:rsid w:val="00C10C69"/>
    <w:rsid w:val="00C11214"/>
    <w:rsid w:val="00C11F3C"/>
    <w:rsid w:val="00C12975"/>
    <w:rsid w:val="00C14155"/>
    <w:rsid w:val="00C153CF"/>
    <w:rsid w:val="00C21AAE"/>
    <w:rsid w:val="00C22D20"/>
    <w:rsid w:val="00C23C08"/>
    <w:rsid w:val="00C241CC"/>
    <w:rsid w:val="00C24D5C"/>
    <w:rsid w:val="00C26045"/>
    <w:rsid w:val="00C2615B"/>
    <w:rsid w:val="00C27264"/>
    <w:rsid w:val="00C27681"/>
    <w:rsid w:val="00C27B2B"/>
    <w:rsid w:val="00C300E4"/>
    <w:rsid w:val="00C300F2"/>
    <w:rsid w:val="00C30FEE"/>
    <w:rsid w:val="00C31246"/>
    <w:rsid w:val="00C33594"/>
    <w:rsid w:val="00C35B1C"/>
    <w:rsid w:val="00C35C6E"/>
    <w:rsid w:val="00C37FCF"/>
    <w:rsid w:val="00C40221"/>
    <w:rsid w:val="00C40670"/>
    <w:rsid w:val="00C4101E"/>
    <w:rsid w:val="00C416E0"/>
    <w:rsid w:val="00C41EAF"/>
    <w:rsid w:val="00C42A81"/>
    <w:rsid w:val="00C44E1C"/>
    <w:rsid w:val="00C45A1D"/>
    <w:rsid w:val="00C45E72"/>
    <w:rsid w:val="00C4715F"/>
    <w:rsid w:val="00C500B4"/>
    <w:rsid w:val="00C50353"/>
    <w:rsid w:val="00C522FC"/>
    <w:rsid w:val="00C56345"/>
    <w:rsid w:val="00C56505"/>
    <w:rsid w:val="00C57762"/>
    <w:rsid w:val="00C57D46"/>
    <w:rsid w:val="00C60876"/>
    <w:rsid w:val="00C6192F"/>
    <w:rsid w:val="00C61A4B"/>
    <w:rsid w:val="00C61A62"/>
    <w:rsid w:val="00C6628C"/>
    <w:rsid w:val="00C66719"/>
    <w:rsid w:val="00C6734B"/>
    <w:rsid w:val="00C67C45"/>
    <w:rsid w:val="00C67EB2"/>
    <w:rsid w:val="00C70A34"/>
    <w:rsid w:val="00C70C20"/>
    <w:rsid w:val="00C70CEB"/>
    <w:rsid w:val="00C7209E"/>
    <w:rsid w:val="00C724DF"/>
    <w:rsid w:val="00C72A9C"/>
    <w:rsid w:val="00C73524"/>
    <w:rsid w:val="00C73599"/>
    <w:rsid w:val="00C74A10"/>
    <w:rsid w:val="00C74BCC"/>
    <w:rsid w:val="00C7507B"/>
    <w:rsid w:val="00C755EF"/>
    <w:rsid w:val="00C76A4D"/>
    <w:rsid w:val="00C76AD4"/>
    <w:rsid w:val="00C773F6"/>
    <w:rsid w:val="00C80269"/>
    <w:rsid w:val="00C80EE0"/>
    <w:rsid w:val="00C81176"/>
    <w:rsid w:val="00C8189F"/>
    <w:rsid w:val="00C81B23"/>
    <w:rsid w:val="00C81C32"/>
    <w:rsid w:val="00C83FA3"/>
    <w:rsid w:val="00C84234"/>
    <w:rsid w:val="00C847BD"/>
    <w:rsid w:val="00C84B2B"/>
    <w:rsid w:val="00C84EA5"/>
    <w:rsid w:val="00C8531D"/>
    <w:rsid w:val="00C86718"/>
    <w:rsid w:val="00C86C68"/>
    <w:rsid w:val="00C87B97"/>
    <w:rsid w:val="00C906C9"/>
    <w:rsid w:val="00C90769"/>
    <w:rsid w:val="00C90D58"/>
    <w:rsid w:val="00C912B0"/>
    <w:rsid w:val="00C9285F"/>
    <w:rsid w:val="00C92F2B"/>
    <w:rsid w:val="00C9434A"/>
    <w:rsid w:val="00C958CA"/>
    <w:rsid w:val="00C96447"/>
    <w:rsid w:val="00C9684E"/>
    <w:rsid w:val="00C96B42"/>
    <w:rsid w:val="00C975D0"/>
    <w:rsid w:val="00C97FF5"/>
    <w:rsid w:val="00CA0098"/>
    <w:rsid w:val="00CA143D"/>
    <w:rsid w:val="00CA20CD"/>
    <w:rsid w:val="00CA311D"/>
    <w:rsid w:val="00CA32C2"/>
    <w:rsid w:val="00CA50CE"/>
    <w:rsid w:val="00CA5159"/>
    <w:rsid w:val="00CA798A"/>
    <w:rsid w:val="00CA7B68"/>
    <w:rsid w:val="00CB007C"/>
    <w:rsid w:val="00CB073B"/>
    <w:rsid w:val="00CB117A"/>
    <w:rsid w:val="00CB2247"/>
    <w:rsid w:val="00CB3804"/>
    <w:rsid w:val="00CB3964"/>
    <w:rsid w:val="00CB3AD2"/>
    <w:rsid w:val="00CB3ECD"/>
    <w:rsid w:val="00CB406A"/>
    <w:rsid w:val="00CB48B1"/>
    <w:rsid w:val="00CB4B39"/>
    <w:rsid w:val="00CB55DD"/>
    <w:rsid w:val="00CB5B2C"/>
    <w:rsid w:val="00CB5BCC"/>
    <w:rsid w:val="00CB5E55"/>
    <w:rsid w:val="00CB6768"/>
    <w:rsid w:val="00CB6BD0"/>
    <w:rsid w:val="00CB77DF"/>
    <w:rsid w:val="00CB783F"/>
    <w:rsid w:val="00CC1F8F"/>
    <w:rsid w:val="00CC21A9"/>
    <w:rsid w:val="00CC25EE"/>
    <w:rsid w:val="00CC298C"/>
    <w:rsid w:val="00CC3B56"/>
    <w:rsid w:val="00CC458E"/>
    <w:rsid w:val="00CC4BEF"/>
    <w:rsid w:val="00CC5706"/>
    <w:rsid w:val="00CC5DF8"/>
    <w:rsid w:val="00CC657E"/>
    <w:rsid w:val="00CC6DB9"/>
    <w:rsid w:val="00CC7455"/>
    <w:rsid w:val="00CD1C2A"/>
    <w:rsid w:val="00CD315C"/>
    <w:rsid w:val="00CD4944"/>
    <w:rsid w:val="00CD5418"/>
    <w:rsid w:val="00CD78CC"/>
    <w:rsid w:val="00CE09E9"/>
    <w:rsid w:val="00CE0AEA"/>
    <w:rsid w:val="00CE0D9A"/>
    <w:rsid w:val="00CE29F4"/>
    <w:rsid w:val="00CE38BC"/>
    <w:rsid w:val="00CE38E4"/>
    <w:rsid w:val="00CE3D01"/>
    <w:rsid w:val="00CE5FAE"/>
    <w:rsid w:val="00CE7748"/>
    <w:rsid w:val="00CF0033"/>
    <w:rsid w:val="00CF03F4"/>
    <w:rsid w:val="00CF04BE"/>
    <w:rsid w:val="00CF0DC4"/>
    <w:rsid w:val="00CF1269"/>
    <w:rsid w:val="00CF1957"/>
    <w:rsid w:val="00CF3B96"/>
    <w:rsid w:val="00CF560F"/>
    <w:rsid w:val="00CF6286"/>
    <w:rsid w:val="00CF7395"/>
    <w:rsid w:val="00CF7856"/>
    <w:rsid w:val="00D02647"/>
    <w:rsid w:val="00D0280E"/>
    <w:rsid w:val="00D036ED"/>
    <w:rsid w:val="00D03A8A"/>
    <w:rsid w:val="00D04101"/>
    <w:rsid w:val="00D04DCA"/>
    <w:rsid w:val="00D05863"/>
    <w:rsid w:val="00D05868"/>
    <w:rsid w:val="00D05A7C"/>
    <w:rsid w:val="00D05E1C"/>
    <w:rsid w:val="00D05E64"/>
    <w:rsid w:val="00D06366"/>
    <w:rsid w:val="00D063C6"/>
    <w:rsid w:val="00D06C35"/>
    <w:rsid w:val="00D079E0"/>
    <w:rsid w:val="00D07ED2"/>
    <w:rsid w:val="00D07F5B"/>
    <w:rsid w:val="00D108F3"/>
    <w:rsid w:val="00D11532"/>
    <w:rsid w:val="00D1171B"/>
    <w:rsid w:val="00D118BA"/>
    <w:rsid w:val="00D12E6A"/>
    <w:rsid w:val="00D13D1F"/>
    <w:rsid w:val="00D14120"/>
    <w:rsid w:val="00D14FC6"/>
    <w:rsid w:val="00D15A6F"/>
    <w:rsid w:val="00D1708E"/>
    <w:rsid w:val="00D2009D"/>
    <w:rsid w:val="00D20F3C"/>
    <w:rsid w:val="00D211C4"/>
    <w:rsid w:val="00D2207E"/>
    <w:rsid w:val="00D220AC"/>
    <w:rsid w:val="00D26430"/>
    <w:rsid w:val="00D26D65"/>
    <w:rsid w:val="00D275A6"/>
    <w:rsid w:val="00D2775F"/>
    <w:rsid w:val="00D27E7B"/>
    <w:rsid w:val="00D27EED"/>
    <w:rsid w:val="00D312CF"/>
    <w:rsid w:val="00D34118"/>
    <w:rsid w:val="00D3469A"/>
    <w:rsid w:val="00D36DDC"/>
    <w:rsid w:val="00D3753D"/>
    <w:rsid w:val="00D3786E"/>
    <w:rsid w:val="00D40D2C"/>
    <w:rsid w:val="00D41308"/>
    <w:rsid w:val="00D41C98"/>
    <w:rsid w:val="00D420B7"/>
    <w:rsid w:val="00D4231F"/>
    <w:rsid w:val="00D425C4"/>
    <w:rsid w:val="00D42DC8"/>
    <w:rsid w:val="00D4324F"/>
    <w:rsid w:val="00D432C0"/>
    <w:rsid w:val="00D43BED"/>
    <w:rsid w:val="00D445B5"/>
    <w:rsid w:val="00D45C62"/>
    <w:rsid w:val="00D464E1"/>
    <w:rsid w:val="00D4698C"/>
    <w:rsid w:val="00D5032A"/>
    <w:rsid w:val="00D51568"/>
    <w:rsid w:val="00D52E8A"/>
    <w:rsid w:val="00D54948"/>
    <w:rsid w:val="00D5506C"/>
    <w:rsid w:val="00D55403"/>
    <w:rsid w:val="00D55DC7"/>
    <w:rsid w:val="00D56C26"/>
    <w:rsid w:val="00D60F5E"/>
    <w:rsid w:val="00D61336"/>
    <w:rsid w:val="00D62CF7"/>
    <w:rsid w:val="00D63195"/>
    <w:rsid w:val="00D63891"/>
    <w:rsid w:val="00D6401C"/>
    <w:rsid w:val="00D643DC"/>
    <w:rsid w:val="00D644DE"/>
    <w:rsid w:val="00D65E14"/>
    <w:rsid w:val="00D671CC"/>
    <w:rsid w:val="00D6723C"/>
    <w:rsid w:val="00D674E1"/>
    <w:rsid w:val="00D707C1"/>
    <w:rsid w:val="00D715FE"/>
    <w:rsid w:val="00D71B3C"/>
    <w:rsid w:val="00D71BD4"/>
    <w:rsid w:val="00D71F75"/>
    <w:rsid w:val="00D724CD"/>
    <w:rsid w:val="00D72C3E"/>
    <w:rsid w:val="00D75FD7"/>
    <w:rsid w:val="00D76E8F"/>
    <w:rsid w:val="00D76FCD"/>
    <w:rsid w:val="00D76FF0"/>
    <w:rsid w:val="00D80544"/>
    <w:rsid w:val="00D80F6D"/>
    <w:rsid w:val="00D83CD4"/>
    <w:rsid w:val="00D8415F"/>
    <w:rsid w:val="00D843FE"/>
    <w:rsid w:val="00D863DC"/>
    <w:rsid w:val="00D877DB"/>
    <w:rsid w:val="00D904C1"/>
    <w:rsid w:val="00D90565"/>
    <w:rsid w:val="00D90D54"/>
    <w:rsid w:val="00D9157F"/>
    <w:rsid w:val="00D918B5"/>
    <w:rsid w:val="00D91D54"/>
    <w:rsid w:val="00D91E0D"/>
    <w:rsid w:val="00D91F46"/>
    <w:rsid w:val="00D92F5E"/>
    <w:rsid w:val="00D93DEB"/>
    <w:rsid w:val="00D93E18"/>
    <w:rsid w:val="00D9494C"/>
    <w:rsid w:val="00D94F7F"/>
    <w:rsid w:val="00D95DEE"/>
    <w:rsid w:val="00D9790B"/>
    <w:rsid w:val="00DA0724"/>
    <w:rsid w:val="00DA0C37"/>
    <w:rsid w:val="00DA2181"/>
    <w:rsid w:val="00DA374E"/>
    <w:rsid w:val="00DA48BC"/>
    <w:rsid w:val="00DA4E3E"/>
    <w:rsid w:val="00DA694D"/>
    <w:rsid w:val="00DB07D4"/>
    <w:rsid w:val="00DB1D88"/>
    <w:rsid w:val="00DB22BA"/>
    <w:rsid w:val="00DB2C0D"/>
    <w:rsid w:val="00DB2F9A"/>
    <w:rsid w:val="00DB307D"/>
    <w:rsid w:val="00DB36A7"/>
    <w:rsid w:val="00DB3ACF"/>
    <w:rsid w:val="00DB3D81"/>
    <w:rsid w:val="00DB4532"/>
    <w:rsid w:val="00DB58A6"/>
    <w:rsid w:val="00DB6094"/>
    <w:rsid w:val="00DB62CD"/>
    <w:rsid w:val="00DB74FB"/>
    <w:rsid w:val="00DC09F1"/>
    <w:rsid w:val="00DC0F06"/>
    <w:rsid w:val="00DC1010"/>
    <w:rsid w:val="00DC1350"/>
    <w:rsid w:val="00DC15DB"/>
    <w:rsid w:val="00DC2383"/>
    <w:rsid w:val="00DC55DB"/>
    <w:rsid w:val="00DC7415"/>
    <w:rsid w:val="00DC75A8"/>
    <w:rsid w:val="00DD04FE"/>
    <w:rsid w:val="00DD0BF6"/>
    <w:rsid w:val="00DD0E8D"/>
    <w:rsid w:val="00DD19CD"/>
    <w:rsid w:val="00DD36B4"/>
    <w:rsid w:val="00DD3F4A"/>
    <w:rsid w:val="00DD4252"/>
    <w:rsid w:val="00DD4BA2"/>
    <w:rsid w:val="00DD631F"/>
    <w:rsid w:val="00DD7EC1"/>
    <w:rsid w:val="00DE05D9"/>
    <w:rsid w:val="00DE109C"/>
    <w:rsid w:val="00DE1DDA"/>
    <w:rsid w:val="00DE2640"/>
    <w:rsid w:val="00DE2FFE"/>
    <w:rsid w:val="00DE3982"/>
    <w:rsid w:val="00DE4B0B"/>
    <w:rsid w:val="00DE4DCA"/>
    <w:rsid w:val="00DE59BF"/>
    <w:rsid w:val="00DE6BC7"/>
    <w:rsid w:val="00DE6D30"/>
    <w:rsid w:val="00DE7438"/>
    <w:rsid w:val="00DF0677"/>
    <w:rsid w:val="00DF1129"/>
    <w:rsid w:val="00DF2119"/>
    <w:rsid w:val="00DF2144"/>
    <w:rsid w:val="00DF2584"/>
    <w:rsid w:val="00DF2BF9"/>
    <w:rsid w:val="00DF3451"/>
    <w:rsid w:val="00DF3860"/>
    <w:rsid w:val="00DF3B98"/>
    <w:rsid w:val="00DF4B94"/>
    <w:rsid w:val="00DF4EFA"/>
    <w:rsid w:val="00DF5F88"/>
    <w:rsid w:val="00DF6E95"/>
    <w:rsid w:val="00DF755D"/>
    <w:rsid w:val="00DF7CE7"/>
    <w:rsid w:val="00E006BA"/>
    <w:rsid w:val="00E00B28"/>
    <w:rsid w:val="00E01F4E"/>
    <w:rsid w:val="00E03718"/>
    <w:rsid w:val="00E06B14"/>
    <w:rsid w:val="00E07236"/>
    <w:rsid w:val="00E075A0"/>
    <w:rsid w:val="00E10346"/>
    <w:rsid w:val="00E10495"/>
    <w:rsid w:val="00E14282"/>
    <w:rsid w:val="00E14708"/>
    <w:rsid w:val="00E14C9D"/>
    <w:rsid w:val="00E156CE"/>
    <w:rsid w:val="00E15AD7"/>
    <w:rsid w:val="00E16CC9"/>
    <w:rsid w:val="00E219F7"/>
    <w:rsid w:val="00E21FA5"/>
    <w:rsid w:val="00E237A0"/>
    <w:rsid w:val="00E238D3"/>
    <w:rsid w:val="00E23E23"/>
    <w:rsid w:val="00E2413C"/>
    <w:rsid w:val="00E246BC"/>
    <w:rsid w:val="00E24DF7"/>
    <w:rsid w:val="00E253AE"/>
    <w:rsid w:val="00E26D39"/>
    <w:rsid w:val="00E26D44"/>
    <w:rsid w:val="00E27649"/>
    <w:rsid w:val="00E30CAA"/>
    <w:rsid w:val="00E31949"/>
    <w:rsid w:val="00E32225"/>
    <w:rsid w:val="00E325AA"/>
    <w:rsid w:val="00E32958"/>
    <w:rsid w:val="00E32A43"/>
    <w:rsid w:val="00E32DC2"/>
    <w:rsid w:val="00E33214"/>
    <w:rsid w:val="00E33830"/>
    <w:rsid w:val="00E33F19"/>
    <w:rsid w:val="00E34AC3"/>
    <w:rsid w:val="00E352DF"/>
    <w:rsid w:val="00E35393"/>
    <w:rsid w:val="00E35A9D"/>
    <w:rsid w:val="00E36D58"/>
    <w:rsid w:val="00E378D0"/>
    <w:rsid w:val="00E40249"/>
    <w:rsid w:val="00E4091D"/>
    <w:rsid w:val="00E40ACF"/>
    <w:rsid w:val="00E40CA7"/>
    <w:rsid w:val="00E41CF4"/>
    <w:rsid w:val="00E42F44"/>
    <w:rsid w:val="00E43FF4"/>
    <w:rsid w:val="00E448E9"/>
    <w:rsid w:val="00E464D5"/>
    <w:rsid w:val="00E46848"/>
    <w:rsid w:val="00E47AAC"/>
    <w:rsid w:val="00E50C45"/>
    <w:rsid w:val="00E50F8A"/>
    <w:rsid w:val="00E517C0"/>
    <w:rsid w:val="00E53647"/>
    <w:rsid w:val="00E55B81"/>
    <w:rsid w:val="00E569C9"/>
    <w:rsid w:val="00E570DB"/>
    <w:rsid w:val="00E61368"/>
    <w:rsid w:val="00E61AFB"/>
    <w:rsid w:val="00E62C6F"/>
    <w:rsid w:val="00E63EAD"/>
    <w:rsid w:val="00E641C1"/>
    <w:rsid w:val="00E65AED"/>
    <w:rsid w:val="00E66EE1"/>
    <w:rsid w:val="00E66F38"/>
    <w:rsid w:val="00E7038F"/>
    <w:rsid w:val="00E70CC7"/>
    <w:rsid w:val="00E7197D"/>
    <w:rsid w:val="00E7266F"/>
    <w:rsid w:val="00E7285D"/>
    <w:rsid w:val="00E73302"/>
    <w:rsid w:val="00E7357D"/>
    <w:rsid w:val="00E7380D"/>
    <w:rsid w:val="00E73E41"/>
    <w:rsid w:val="00E7406E"/>
    <w:rsid w:val="00E74549"/>
    <w:rsid w:val="00E74B3C"/>
    <w:rsid w:val="00E7574A"/>
    <w:rsid w:val="00E75CDF"/>
    <w:rsid w:val="00E81421"/>
    <w:rsid w:val="00E8168B"/>
    <w:rsid w:val="00E81B44"/>
    <w:rsid w:val="00E81FA5"/>
    <w:rsid w:val="00E824D3"/>
    <w:rsid w:val="00E82EF3"/>
    <w:rsid w:val="00E8301C"/>
    <w:rsid w:val="00E83339"/>
    <w:rsid w:val="00E8385B"/>
    <w:rsid w:val="00E853B2"/>
    <w:rsid w:val="00E85AD4"/>
    <w:rsid w:val="00E91EE1"/>
    <w:rsid w:val="00E94677"/>
    <w:rsid w:val="00E953DE"/>
    <w:rsid w:val="00E95A71"/>
    <w:rsid w:val="00E95AB9"/>
    <w:rsid w:val="00EA04AE"/>
    <w:rsid w:val="00EA0566"/>
    <w:rsid w:val="00EA0986"/>
    <w:rsid w:val="00EA0A13"/>
    <w:rsid w:val="00EA1096"/>
    <w:rsid w:val="00EA1352"/>
    <w:rsid w:val="00EA28D1"/>
    <w:rsid w:val="00EA358D"/>
    <w:rsid w:val="00EA38DE"/>
    <w:rsid w:val="00EA39A7"/>
    <w:rsid w:val="00EA4B99"/>
    <w:rsid w:val="00EA5323"/>
    <w:rsid w:val="00EA6D52"/>
    <w:rsid w:val="00EA6DBD"/>
    <w:rsid w:val="00EA7124"/>
    <w:rsid w:val="00EA7C4C"/>
    <w:rsid w:val="00EB1507"/>
    <w:rsid w:val="00EB1BFA"/>
    <w:rsid w:val="00EB2A18"/>
    <w:rsid w:val="00EB3C8F"/>
    <w:rsid w:val="00EB3DD9"/>
    <w:rsid w:val="00EB4855"/>
    <w:rsid w:val="00EB5662"/>
    <w:rsid w:val="00EB5B88"/>
    <w:rsid w:val="00EB62A5"/>
    <w:rsid w:val="00EB67D2"/>
    <w:rsid w:val="00EB69DB"/>
    <w:rsid w:val="00EB7660"/>
    <w:rsid w:val="00EB7B15"/>
    <w:rsid w:val="00EC18FB"/>
    <w:rsid w:val="00EC2218"/>
    <w:rsid w:val="00EC29D4"/>
    <w:rsid w:val="00EC44FF"/>
    <w:rsid w:val="00EC51FA"/>
    <w:rsid w:val="00EC5AA6"/>
    <w:rsid w:val="00EC62EB"/>
    <w:rsid w:val="00ED0599"/>
    <w:rsid w:val="00ED149E"/>
    <w:rsid w:val="00ED16E3"/>
    <w:rsid w:val="00ED222D"/>
    <w:rsid w:val="00ED283C"/>
    <w:rsid w:val="00ED3569"/>
    <w:rsid w:val="00ED3C64"/>
    <w:rsid w:val="00ED3F38"/>
    <w:rsid w:val="00ED409B"/>
    <w:rsid w:val="00ED59CF"/>
    <w:rsid w:val="00ED6A3E"/>
    <w:rsid w:val="00ED734A"/>
    <w:rsid w:val="00EE14F7"/>
    <w:rsid w:val="00EE215D"/>
    <w:rsid w:val="00EE3CCE"/>
    <w:rsid w:val="00EE61A0"/>
    <w:rsid w:val="00EE6511"/>
    <w:rsid w:val="00EE6B04"/>
    <w:rsid w:val="00EE701E"/>
    <w:rsid w:val="00EF142C"/>
    <w:rsid w:val="00EF2022"/>
    <w:rsid w:val="00EF23B3"/>
    <w:rsid w:val="00EF3637"/>
    <w:rsid w:val="00EF4363"/>
    <w:rsid w:val="00EF6683"/>
    <w:rsid w:val="00F006D5"/>
    <w:rsid w:val="00F00D85"/>
    <w:rsid w:val="00F02406"/>
    <w:rsid w:val="00F0265D"/>
    <w:rsid w:val="00F029BD"/>
    <w:rsid w:val="00F03528"/>
    <w:rsid w:val="00F03A74"/>
    <w:rsid w:val="00F03ADE"/>
    <w:rsid w:val="00F0465D"/>
    <w:rsid w:val="00F04963"/>
    <w:rsid w:val="00F049FD"/>
    <w:rsid w:val="00F052F6"/>
    <w:rsid w:val="00F06E70"/>
    <w:rsid w:val="00F07E2F"/>
    <w:rsid w:val="00F11144"/>
    <w:rsid w:val="00F1115F"/>
    <w:rsid w:val="00F11F70"/>
    <w:rsid w:val="00F138E6"/>
    <w:rsid w:val="00F1408E"/>
    <w:rsid w:val="00F143EF"/>
    <w:rsid w:val="00F14509"/>
    <w:rsid w:val="00F16334"/>
    <w:rsid w:val="00F1663A"/>
    <w:rsid w:val="00F2116F"/>
    <w:rsid w:val="00F22586"/>
    <w:rsid w:val="00F22C00"/>
    <w:rsid w:val="00F22E40"/>
    <w:rsid w:val="00F236BB"/>
    <w:rsid w:val="00F239BB"/>
    <w:rsid w:val="00F239C2"/>
    <w:rsid w:val="00F24338"/>
    <w:rsid w:val="00F25C5B"/>
    <w:rsid w:val="00F26543"/>
    <w:rsid w:val="00F26CBE"/>
    <w:rsid w:val="00F27CCC"/>
    <w:rsid w:val="00F27CE7"/>
    <w:rsid w:val="00F305A2"/>
    <w:rsid w:val="00F320FF"/>
    <w:rsid w:val="00F3374E"/>
    <w:rsid w:val="00F33ACE"/>
    <w:rsid w:val="00F33C82"/>
    <w:rsid w:val="00F33E83"/>
    <w:rsid w:val="00F34711"/>
    <w:rsid w:val="00F34B3A"/>
    <w:rsid w:val="00F35441"/>
    <w:rsid w:val="00F359F9"/>
    <w:rsid w:val="00F35AE2"/>
    <w:rsid w:val="00F35B3B"/>
    <w:rsid w:val="00F37373"/>
    <w:rsid w:val="00F37CEC"/>
    <w:rsid w:val="00F4099F"/>
    <w:rsid w:val="00F4292D"/>
    <w:rsid w:val="00F42BD4"/>
    <w:rsid w:val="00F42EDB"/>
    <w:rsid w:val="00F43207"/>
    <w:rsid w:val="00F43422"/>
    <w:rsid w:val="00F43E36"/>
    <w:rsid w:val="00F440F5"/>
    <w:rsid w:val="00F44319"/>
    <w:rsid w:val="00F461E0"/>
    <w:rsid w:val="00F464AA"/>
    <w:rsid w:val="00F47639"/>
    <w:rsid w:val="00F50697"/>
    <w:rsid w:val="00F50EE2"/>
    <w:rsid w:val="00F533CB"/>
    <w:rsid w:val="00F5394C"/>
    <w:rsid w:val="00F53C88"/>
    <w:rsid w:val="00F54336"/>
    <w:rsid w:val="00F54E10"/>
    <w:rsid w:val="00F55E5D"/>
    <w:rsid w:val="00F560B9"/>
    <w:rsid w:val="00F568EF"/>
    <w:rsid w:val="00F56DDA"/>
    <w:rsid w:val="00F57150"/>
    <w:rsid w:val="00F5762D"/>
    <w:rsid w:val="00F57841"/>
    <w:rsid w:val="00F57FE9"/>
    <w:rsid w:val="00F613AB"/>
    <w:rsid w:val="00F6267B"/>
    <w:rsid w:val="00F64A41"/>
    <w:rsid w:val="00F64B34"/>
    <w:rsid w:val="00F64FA2"/>
    <w:rsid w:val="00F65245"/>
    <w:rsid w:val="00F663F3"/>
    <w:rsid w:val="00F66BF0"/>
    <w:rsid w:val="00F7140F"/>
    <w:rsid w:val="00F71E72"/>
    <w:rsid w:val="00F7229B"/>
    <w:rsid w:val="00F736E0"/>
    <w:rsid w:val="00F744D3"/>
    <w:rsid w:val="00F75D73"/>
    <w:rsid w:val="00F77196"/>
    <w:rsid w:val="00F77240"/>
    <w:rsid w:val="00F779BB"/>
    <w:rsid w:val="00F80E92"/>
    <w:rsid w:val="00F82191"/>
    <w:rsid w:val="00F837F3"/>
    <w:rsid w:val="00F85C0C"/>
    <w:rsid w:val="00F86342"/>
    <w:rsid w:val="00F86562"/>
    <w:rsid w:val="00F86894"/>
    <w:rsid w:val="00F901BD"/>
    <w:rsid w:val="00F909C0"/>
    <w:rsid w:val="00F918BC"/>
    <w:rsid w:val="00F928F7"/>
    <w:rsid w:val="00F92C90"/>
    <w:rsid w:val="00F95F88"/>
    <w:rsid w:val="00F967AD"/>
    <w:rsid w:val="00F96D09"/>
    <w:rsid w:val="00FA0F08"/>
    <w:rsid w:val="00FA1B72"/>
    <w:rsid w:val="00FA398C"/>
    <w:rsid w:val="00FA72B7"/>
    <w:rsid w:val="00FB0A94"/>
    <w:rsid w:val="00FB201E"/>
    <w:rsid w:val="00FB24E7"/>
    <w:rsid w:val="00FB26CB"/>
    <w:rsid w:val="00FB2D7A"/>
    <w:rsid w:val="00FB518B"/>
    <w:rsid w:val="00FB564A"/>
    <w:rsid w:val="00FB5DB7"/>
    <w:rsid w:val="00FB67D1"/>
    <w:rsid w:val="00FB6C01"/>
    <w:rsid w:val="00FB6D12"/>
    <w:rsid w:val="00FB73C5"/>
    <w:rsid w:val="00FB78CA"/>
    <w:rsid w:val="00FB7F54"/>
    <w:rsid w:val="00FC028B"/>
    <w:rsid w:val="00FC3CC7"/>
    <w:rsid w:val="00FC5DCE"/>
    <w:rsid w:val="00FC7CFE"/>
    <w:rsid w:val="00FD0616"/>
    <w:rsid w:val="00FD15DC"/>
    <w:rsid w:val="00FD3844"/>
    <w:rsid w:val="00FD3A83"/>
    <w:rsid w:val="00FD43E0"/>
    <w:rsid w:val="00FD5DA4"/>
    <w:rsid w:val="00FE1C64"/>
    <w:rsid w:val="00FE267E"/>
    <w:rsid w:val="00FE303C"/>
    <w:rsid w:val="00FE36F8"/>
    <w:rsid w:val="00FE38F8"/>
    <w:rsid w:val="00FE3BA6"/>
    <w:rsid w:val="00FE4524"/>
    <w:rsid w:val="00FE486C"/>
    <w:rsid w:val="00FE4883"/>
    <w:rsid w:val="00FE5DDB"/>
    <w:rsid w:val="00FE6379"/>
    <w:rsid w:val="00FF0B86"/>
    <w:rsid w:val="00FF135C"/>
    <w:rsid w:val="00FF1410"/>
    <w:rsid w:val="00FF1652"/>
    <w:rsid w:val="00FF1B44"/>
    <w:rsid w:val="00FF1F3D"/>
    <w:rsid w:val="00FF3258"/>
    <w:rsid w:val="00FF4FD0"/>
    <w:rsid w:val="00FF5089"/>
    <w:rsid w:val="00FF68B3"/>
    <w:rsid w:val="00FF6B1D"/>
    <w:rsid w:val="00FF6F5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516CF"/>
  <w15:docId w15:val="{1467F403-B14A-4D63-98D8-93568818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20B7"/>
    <w:pPr>
      <w:jc w:val="both"/>
    </w:pPr>
    <w:rPr>
      <w:rFonts w:ascii="Arial" w:eastAsia="Times New Roman" w:hAnsi="Arial"/>
      <w:sz w:val="22"/>
      <w:lang w:val="en-GB" w:eastAsia="de-DE"/>
    </w:rPr>
  </w:style>
  <w:style w:type="paragraph" w:styleId="Heading1">
    <w:name w:val="heading 1"/>
    <w:basedOn w:val="Normal"/>
    <w:next w:val="Normal"/>
    <w:link w:val="Heading1Char"/>
    <w:qFormat/>
    <w:rsid w:val="00CB4B39"/>
    <w:pPr>
      <w:keepNext/>
      <w:keepLines/>
      <w:numPr>
        <w:numId w:val="32"/>
      </w:numPr>
      <w:spacing w:before="480"/>
      <w:outlineLvl w:val="0"/>
    </w:pPr>
    <w:rPr>
      <w:rFonts w:ascii="Cambria" w:eastAsia="MS Gothic" w:hAnsi="Cambria"/>
      <w:b/>
      <w:bCs/>
      <w:color w:val="365F91"/>
      <w:sz w:val="28"/>
      <w:szCs w:val="28"/>
      <w:lang w:val="en-US" w:eastAsia="en-US"/>
    </w:rPr>
  </w:style>
  <w:style w:type="paragraph" w:styleId="Heading2">
    <w:name w:val="heading 2"/>
    <w:basedOn w:val="Normal"/>
    <w:next w:val="Normal"/>
    <w:link w:val="Heading2Char"/>
    <w:unhideWhenUsed/>
    <w:qFormat/>
    <w:rsid w:val="00CB4B39"/>
    <w:pPr>
      <w:keepNext/>
      <w:keepLines/>
      <w:numPr>
        <w:ilvl w:val="1"/>
        <w:numId w:val="32"/>
      </w:numPr>
      <w:spacing w:before="200"/>
      <w:outlineLvl w:val="1"/>
    </w:pPr>
    <w:rPr>
      <w:rFonts w:ascii="Cambria" w:eastAsia="MS Gothic" w:hAnsi="Cambria"/>
      <w:b/>
      <w:bCs/>
      <w:color w:val="4F81BD"/>
      <w:sz w:val="26"/>
      <w:szCs w:val="26"/>
      <w:lang w:val="en-US" w:eastAsia="en-US"/>
    </w:rPr>
  </w:style>
  <w:style w:type="paragraph" w:styleId="Heading3">
    <w:name w:val="heading 3"/>
    <w:basedOn w:val="Normal"/>
    <w:next w:val="Normal"/>
    <w:link w:val="Heading3Char"/>
    <w:unhideWhenUsed/>
    <w:qFormat/>
    <w:rsid w:val="00CB4B39"/>
    <w:pPr>
      <w:keepNext/>
      <w:keepLines/>
      <w:numPr>
        <w:ilvl w:val="2"/>
        <w:numId w:val="32"/>
      </w:numPr>
      <w:spacing w:before="200"/>
      <w:outlineLvl w:val="2"/>
    </w:pPr>
    <w:rPr>
      <w:rFonts w:ascii="Cambria" w:eastAsia="MS Gothic" w:hAnsi="Cambria"/>
      <w:b/>
      <w:bCs/>
      <w:color w:val="4F81BD"/>
      <w:sz w:val="24"/>
      <w:szCs w:val="24"/>
      <w:lang w:val="en-US" w:eastAsia="en-US"/>
    </w:rPr>
  </w:style>
  <w:style w:type="paragraph" w:styleId="Heading4">
    <w:name w:val="heading 4"/>
    <w:basedOn w:val="Normal"/>
    <w:next w:val="Normal"/>
    <w:link w:val="Heading4Char"/>
    <w:unhideWhenUsed/>
    <w:qFormat/>
    <w:rsid w:val="00CB4B39"/>
    <w:pPr>
      <w:keepNext/>
      <w:keepLines/>
      <w:numPr>
        <w:ilvl w:val="3"/>
        <w:numId w:val="32"/>
      </w:numPr>
      <w:spacing w:before="200"/>
      <w:outlineLvl w:val="3"/>
    </w:pPr>
    <w:rPr>
      <w:rFonts w:ascii="Cambria" w:eastAsia="MS Gothic" w:hAnsi="Cambria"/>
      <w:b/>
      <w:bCs/>
      <w:i/>
      <w:iCs/>
      <w:color w:val="4F81BD"/>
      <w:sz w:val="24"/>
      <w:szCs w:val="24"/>
      <w:lang w:val="en-US" w:eastAsia="en-US"/>
    </w:rPr>
  </w:style>
  <w:style w:type="paragraph" w:styleId="Heading5">
    <w:name w:val="heading 5"/>
    <w:basedOn w:val="Normal"/>
    <w:next w:val="Normal"/>
    <w:link w:val="Heading5Char"/>
    <w:unhideWhenUsed/>
    <w:qFormat/>
    <w:rsid w:val="00CB4B39"/>
    <w:pPr>
      <w:keepNext/>
      <w:keepLines/>
      <w:numPr>
        <w:ilvl w:val="4"/>
        <w:numId w:val="32"/>
      </w:numPr>
      <w:spacing w:before="200"/>
      <w:outlineLvl w:val="4"/>
    </w:pPr>
    <w:rPr>
      <w:rFonts w:ascii="Cambria" w:eastAsia="MS Gothic" w:hAnsi="Cambria"/>
      <w:color w:val="243F60"/>
      <w:sz w:val="24"/>
      <w:szCs w:val="24"/>
      <w:lang w:val="en-US" w:eastAsia="en-US"/>
    </w:rPr>
  </w:style>
  <w:style w:type="paragraph" w:styleId="Heading6">
    <w:name w:val="heading 6"/>
    <w:basedOn w:val="Normal"/>
    <w:next w:val="Normal"/>
    <w:link w:val="Heading6Char"/>
    <w:unhideWhenUsed/>
    <w:qFormat/>
    <w:rsid w:val="00CB4B39"/>
    <w:pPr>
      <w:keepNext/>
      <w:keepLines/>
      <w:numPr>
        <w:ilvl w:val="5"/>
        <w:numId w:val="32"/>
      </w:numPr>
      <w:spacing w:before="200"/>
      <w:outlineLvl w:val="5"/>
    </w:pPr>
    <w:rPr>
      <w:rFonts w:ascii="Cambria" w:eastAsia="MS Gothic" w:hAnsi="Cambria"/>
      <w:i/>
      <w:iCs/>
      <w:color w:val="243F60"/>
      <w:sz w:val="24"/>
      <w:szCs w:val="24"/>
      <w:lang w:val="en-US" w:eastAsia="en-US"/>
    </w:rPr>
  </w:style>
  <w:style w:type="paragraph" w:styleId="Heading7">
    <w:name w:val="heading 7"/>
    <w:basedOn w:val="Normal"/>
    <w:next w:val="Normal"/>
    <w:link w:val="Heading7Char"/>
    <w:unhideWhenUsed/>
    <w:qFormat/>
    <w:rsid w:val="00CB4B39"/>
    <w:pPr>
      <w:keepNext/>
      <w:keepLines/>
      <w:numPr>
        <w:ilvl w:val="6"/>
        <w:numId w:val="32"/>
      </w:numPr>
      <w:spacing w:before="200"/>
      <w:outlineLvl w:val="6"/>
    </w:pPr>
    <w:rPr>
      <w:rFonts w:ascii="Cambria" w:eastAsia="MS Gothic" w:hAnsi="Cambria"/>
      <w:i/>
      <w:iCs/>
      <w:color w:val="404040"/>
      <w:sz w:val="24"/>
      <w:szCs w:val="24"/>
      <w:lang w:val="en-US" w:eastAsia="en-US"/>
    </w:rPr>
  </w:style>
  <w:style w:type="paragraph" w:styleId="Heading8">
    <w:name w:val="heading 8"/>
    <w:basedOn w:val="Normal"/>
    <w:next w:val="Normal"/>
    <w:link w:val="Heading8Char"/>
    <w:unhideWhenUsed/>
    <w:qFormat/>
    <w:rsid w:val="00CB4B39"/>
    <w:pPr>
      <w:keepNext/>
      <w:keepLines/>
      <w:numPr>
        <w:ilvl w:val="7"/>
        <w:numId w:val="32"/>
      </w:numPr>
      <w:spacing w:before="200"/>
      <w:outlineLvl w:val="7"/>
    </w:pPr>
    <w:rPr>
      <w:rFonts w:ascii="Cambria" w:eastAsia="MS Gothic" w:hAnsi="Cambria"/>
      <w:color w:val="404040"/>
      <w:sz w:val="20"/>
      <w:lang w:val="en-US" w:eastAsia="en-US"/>
    </w:rPr>
  </w:style>
  <w:style w:type="paragraph" w:styleId="Heading9">
    <w:name w:val="heading 9"/>
    <w:basedOn w:val="Normal"/>
    <w:next w:val="Normal"/>
    <w:link w:val="Heading9Char"/>
    <w:unhideWhenUsed/>
    <w:qFormat/>
    <w:rsid w:val="00CB4B39"/>
    <w:pPr>
      <w:keepNext/>
      <w:keepLines/>
      <w:numPr>
        <w:ilvl w:val="8"/>
        <w:numId w:val="32"/>
      </w:numPr>
      <w:spacing w:before="200"/>
      <w:outlineLvl w:val="8"/>
    </w:pPr>
    <w:rPr>
      <w:rFonts w:ascii="Cambria" w:eastAsia="MS Gothic" w:hAnsi="Cambria"/>
      <w:i/>
      <w:iCs/>
      <w:color w:val="404040"/>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Para">
    <w:name w:val="DecPara"/>
    <w:basedOn w:val="Normal"/>
    <w:rsid w:val="00CE3D01"/>
    <w:pPr>
      <w:numPr>
        <w:numId w:val="1"/>
      </w:numPr>
    </w:pPr>
  </w:style>
  <w:style w:type="paragraph" w:customStyle="1" w:styleId="RegHead1">
    <w:name w:val="RegHead1"/>
    <w:basedOn w:val="RegParaNoNumb"/>
    <w:next w:val="RegHead2"/>
    <w:rsid w:val="00CE3D01"/>
    <w:pPr>
      <w:keepNext/>
      <w:numPr>
        <w:numId w:val="8"/>
      </w:numPr>
      <w:jc w:val="center"/>
      <w:outlineLvl w:val="0"/>
    </w:pPr>
    <w:rPr>
      <w:rFonts w:ascii="Times New Roman Bold" w:hAnsi="Times New Roman Bold"/>
      <w:b/>
      <w:szCs w:val="24"/>
    </w:rPr>
  </w:style>
  <w:style w:type="paragraph" w:customStyle="1" w:styleId="AnnoPara">
    <w:name w:val="AnnoPara"/>
    <w:basedOn w:val="Normal"/>
    <w:rsid w:val="00CE3D01"/>
    <w:pPr>
      <w:numPr>
        <w:ilvl w:val="4"/>
        <w:numId w:val="5"/>
      </w:numPr>
    </w:pPr>
  </w:style>
  <w:style w:type="paragraph" w:customStyle="1" w:styleId="RegHead3">
    <w:name w:val="RegHead3"/>
    <w:basedOn w:val="RegParaNoNumb"/>
    <w:next w:val="RegPara"/>
    <w:rsid w:val="00CE3D01"/>
    <w:pPr>
      <w:keepNext/>
      <w:numPr>
        <w:ilvl w:val="2"/>
        <w:numId w:val="8"/>
      </w:numPr>
      <w:jc w:val="center"/>
    </w:pPr>
    <w:rPr>
      <w:u w:val="single"/>
    </w:rPr>
  </w:style>
  <w:style w:type="paragraph" w:customStyle="1" w:styleId="RegPara">
    <w:name w:val="RegPara"/>
    <w:basedOn w:val="Normal"/>
    <w:link w:val="RegParaChar"/>
    <w:rsid w:val="00CE3D01"/>
    <w:pPr>
      <w:numPr>
        <w:ilvl w:val="3"/>
        <w:numId w:val="8"/>
      </w:numPr>
      <w:spacing w:before="180"/>
    </w:pPr>
  </w:style>
  <w:style w:type="paragraph" w:styleId="Header">
    <w:name w:val="header"/>
    <w:basedOn w:val="Normal"/>
    <w:rsid w:val="00CB4B39"/>
    <w:pPr>
      <w:tabs>
        <w:tab w:val="center" w:pos="4320"/>
        <w:tab w:val="right" w:pos="8640"/>
      </w:tabs>
    </w:pPr>
  </w:style>
  <w:style w:type="paragraph" w:styleId="Footer">
    <w:name w:val="footer"/>
    <w:basedOn w:val="Normal"/>
    <w:rsid w:val="00CB4B39"/>
    <w:pPr>
      <w:tabs>
        <w:tab w:val="center" w:pos="4320"/>
        <w:tab w:val="right" w:pos="8640"/>
      </w:tabs>
    </w:pPr>
  </w:style>
  <w:style w:type="character" w:styleId="PageNumber">
    <w:name w:val="page number"/>
    <w:basedOn w:val="DefaultParagraphFont"/>
    <w:rsid w:val="00CE3D01"/>
  </w:style>
  <w:style w:type="paragraph" w:customStyle="1" w:styleId="CUB">
    <w:name w:val="CUB"/>
    <w:basedOn w:val="Normal"/>
    <w:rsid w:val="00CE3D01"/>
    <w:pPr>
      <w:jc w:val="center"/>
    </w:pPr>
    <w:rPr>
      <w:b/>
      <w:u w:val="single"/>
    </w:rPr>
  </w:style>
  <w:style w:type="paragraph" w:styleId="TOC3">
    <w:name w:val="toc 3"/>
    <w:basedOn w:val="TOC1"/>
    <w:link w:val="TOC3Char"/>
    <w:uiPriority w:val="39"/>
    <w:rsid w:val="00CB4B39"/>
    <w:pPr>
      <w:ind w:left="2268" w:hanging="992"/>
    </w:pPr>
    <w:rPr>
      <w:b w:val="0"/>
      <w:caps w:val="0"/>
    </w:rPr>
  </w:style>
  <w:style w:type="paragraph" w:styleId="TOC2">
    <w:name w:val="toc 2"/>
    <w:basedOn w:val="TOC1"/>
    <w:link w:val="TOC2Char"/>
    <w:uiPriority w:val="39"/>
    <w:rsid w:val="00CB4B39"/>
    <w:pPr>
      <w:ind w:left="1276" w:hanging="709"/>
    </w:pPr>
    <w:rPr>
      <w:b w:val="0"/>
      <w:caps w:val="0"/>
    </w:rPr>
  </w:style>
  <w:style w:type="paragraph" w:customStyle="1" w:styleId="RegAppendix">
    <w:name w:val="RegAppendix"/>
    <w:basedOn w:val="RegParaNoNumb"/>
    <w:next w:val="RegPara"/>
    <w:rsid w:val="00CE3D01"/>
    <w:pPr>
      <w:numPr>
        <w:numId w:val="7"/>
      </w:numPr>
      <w:spacing w:before="360" w:after="240"/>
      <w:jc w:val="center"/>
      <w:outlineLvl w:val="2"/>
    </w:pPr>
    <w:rPr>
      <w:b/>
      <w:bCs/>
    </w:rPr>
  </w:style>
  <w:style w:type="paragraph" w:styleId="TOC1">
    <w:name w:val="toc 1"/>
    <w:basedOn w:val="Normal"/>
    <w:link w:val="TOC1Char"/>
    <w:uiPriority w:val="39"/>
    <w:rsid w:val="00CB4B39"/>
    <w:pPr>
      <w:tabs>
        <w:tab w:val="left" w:leader="dot" w:pos="8222"/>
        <w:tab w:val="right" w:pos="9356"/>
      </w:tabs>
      <w:spacing w:before="180"/>
      <w:ind w:left="567" w:right="1418" w:hanging="567"/>
      <w:jc w:val="left"/>
    </w:pPr>
    <w:rPr>
      <w:rFonts w:cs="Arial"/>
      <w:b/>
      <w:caps/>
      <w:sz w:val="21"/>
      <w:szCs w:val="21"/>
    </w:rPr>
  </w:style>
  <w:style w:type="paragraph" w:styleId="FootnoteText">
    <w:name w:val="footnote text"/>
    <w:aliases w:val="ft,DNV-FT,single space,footnote text,fn,FOOTNOTES,ALTS FOOTNOTE,Footnote Text Char2 Char,Footnote Text Char1 Char Char,Footnote Text Char2 Char Char Char,Footnote Text Char1 Char Char Char Char,Footnote Text Char2 Char Char Char Char Char"/>
    <w:basedOn w:val="Normal"/>
    <w:link w:val="FootnoteTextChar"/>
    <w:uiPriority w:val="99"/>
    <w:qFormat/>
    <w:rsid w:val="00CB4B39"/>
    <w:pPr>
      <w:keepLines/>
      <w:numPr>
        <w:numId w:val="22"/>
      </w:numPr>
      <w:spacing w:before="120" w:after="60"/>
    </w:pPr>
    <w:rPr>
      <w:sz w:val="20"/>
    </w:rPr>
  </w:style>
  <w:style w:type="paragraph" w:customStyle="1" w:styleId="AgendaItem">
    <w:name w:val="AgendaItem"/>
    <w:basedOn w:val="Normal"/>
    <w:autoRedefine/>
    <w:rsid w:val="00CE3D01"/>
    <w:rPr>
      <w:b/>
      <w:sz w:val="20"/>
    </w:rPr>
  </w:style>
  <w:style w:type="paragraph" w:customStyle="1" w:styleId="MainTitle">
    <w:name w:val="MainTitle"/>
    <w:basedOn w:val="Normal"/>
    <w:rsid w:val="00CE3D01"/>
    <w:pPr>
      <w:jc w:val="center"/>
    </w:pPr>
    <w:rPr>
      <w:b/>
      <w:sz w:val="28"/>
    </w:rPr>
  </w:style>
  <w:style w:type="paragraph" w:customStyle="1" w:styleId="NoteSecretariat">
    <w:name w:val="NoteSecretariat"/>
    <w:basedOn w:val="Normal"/>
    <w:rsid w:val="00CE3D01"/>
    <w:pPr>
      <w:jc w:val="center"/>
    </w:pPr>
    <w:rPr>
      <w:b/>
    </w:rPr>
  </w:style>
  <w:style w:type="paragraph" w:customStyle="1" w:styleId="AnnoHead1">
    <w:name w:val="AnnoHead1"/>
    <w:basedOn w:val="Normal"/>
    <w:next w:val="AnnoHead2"/>
    <w:rsid w:val="00CE3D01"/>
    <w:pPr>
      <w:numPr>
        <w:numId w:val="4"/>
      </w:numPr>
      <w:jc w:val="center"/>
    </w:pPr>
    <w:rPr>
      <w:b/>
      <w:sz w:val="28"/>
    </w:rPr>
  </w:style>
  <w:style w:type="paragraph" w:customStyle="1" w:styleId="AnnoHead2">
    <w:name w:val="AnnoHead2"/>
    <w:basedOn w:val="Normal"/>
    <w:next w:val="AnnoHead3"/>
    <w:rsid w:val="00CE3D01"/>
    <w:pPr>
      <w:numPr>
        <w:ilvl w:val="1"/>
        <w:numId w:val="5"/>
      </w:numPr>
      <w:jc w:val="center"/>
    </w:pPr>
    <w:rPr>
      <w:b/>
    </w:rPr>
  </w:style>
  <w:style w:type="paragraph" w:customStyle="1" w:styleId="AnnoHead3">
    <w:name w:val="AnnoHead3"/>
    <w:basedOn w:val="Normal"/>
    <w:next w:val="AnnoPara"/>
    <w:rsid w:val="00CE3D01"/>
    <w:pPr>
      <w:numPr>
        <w:ilvl w:val="2"/>
        <w:numId w:val="5"/>
      </w:numPr>
    </w:pPr>
    <w:rPr>
      <w:u w:val="single"/>
    </w:rPr>
  </w:style>
  <w:style w:type="paragraph" w:customStyle="1" w:styleId="ProvHead1">
    <w:name w:val="ProvHead1"/>
    <w:basedOn w:val="Normal"/>
    <w:next w:val="ProvHead2"/>
    <w:rsid w:val="00CE3D01"/>
    <w:pPr>
      <w:numPr>
        <w:numId w:val="2"/>
      </w:numPr>
      <w:jc w:val="center"/>
    </w:pPr>
    <w:rPr>
      <w:b/>
      <w:caps/>
    </w:rPr>
  </w:style>
  <w:style w:type="paragraph" w:customStyle="1" w:styleId="FootnoteTable">
    <w:name w:val="FootnoteTable"/>
    <w:rsid w:val="00CE3D01"/>
    <w:pPr>
      <w:numPr>
        <w:numId w:val="3"/>
      </w:numPr>
      <w:tabs>
        <w:tab w:val="clear" w:pos="360"/>
      </w:tabs>
    </w:pPr>
    <w:rPr>
      <w:rFonts w:eastAsia="Times New Roman"/>
      <w:sz w:val="16"/>
      <w:lang w:val="en-GB" w:eastAsia="en-US"/>
    </w:rPr>
  </w:style>
  <w:style w:type="paragraph" w:customStyle="1" w:styleId="ProvHead2">
    <w:name w:val="ProvHead2"/>
    <w:basedOn w:val="Normal"/>
    <w:next w:val="ProvHead3"/>
    <w:rsid w:val="00CE3D01"/>
    <w:pPr>
      <w:numPr>
        <w:ilvl w:val="1"/>
        <w:numId w:val="2"/>
      </w:numPr>
      <w:jc w:val="center"/>
    </w:pPr>
    <w:rPr>
      <w:b/>
      <w:u w:val="single"/>
    </w:rPr>
  </w:style>
  <w:style w:type="paragraph" w:customStyle="1" w:styleId="RegHead2">
    <w:name w:val="RegHead2"/>
    <w:basedOn w:val="RegParaNoNumb"/>
    <w:next w:val="RegHead3"/>
    <w:rsid w:val="00CE3D01"/>
    <w:pPr>
      <w:keepNext/>
      <w:numPr>
        <w:ilvl w:val="1"/>
        <w:numId w:val="8"/>
      </w:numPr>
      <w:jc w:val="center"/>
      <w:outlineLvl w:val="1"/>
    </w:pPr>
    <w:rPr>
      <w:b/>
    </w:rPr>
  </w:style>
  <w:style w:type="paragraph" w:customStyle="1" w:styleId="ProvHead3">
    <w:name w:val="ProvHead3"/>
    <w:basedOn w:val="Normal"/>
    <w:next w:val="ProvPara"/>
    <w:rsid w:val="00CE3D01"/>
    <w:pPr>
      <w:numPr>
        <w:ilvl w:val="2"/>
        <w:numId w:val="2"/>
      </w:numPr>
      <w:tabs>
        <w:tab w:val="clear" w:pos="360"/>
      </w:tabs>
    </w:pPr>
    <w:rPr>
      <w:b/>
      <w:u w:val="single"/>
    </w:rPr>
  </w:style>
  <w:style w:type="paragraph" w:customStyle="1" w:styleId="ProvPara">
    <w:name w:val="ProvPara"/>
    <w:basedOn w:val="Normal"/>
    <w:rsid w:val="00CE3D01"/>
    <w:pPr>
      <w:numPr>
        <w:ilvl w:val="3"/>
        <w:numId w:val="2"/>
      </w:numPr>
    </w:pPr>
  </w:style>
  <w:style w:type="character" w:styleId="FootnoteReference">
    <w:name w:val="footnote reference"/>
    <w:aliases w:val="ftref,16 Point,Superscript 6 Point,Footnote Reference Number,heading1, BVI fnr,Footnote Reference2,BVI fnr,16 Point Char,Superscript 6 Point Char,BVI fnr Char Char Char Char,BVI fnr Zchn Zchn Char Char Char Char Char Char Char,fr,SUPE"/>
    <w:link w:val="BVIfnrCharCharChar"/>
    <w:uiPriority w:val="99"/>
    <w:rsid w:val="00CB4B39"/>
    <w:rPr>
      <w:vertAlign w:val="superscript"/>
    </w:rPr>
  </w:style>
  <w:style w:type="character" w:styleId="Hyperlink">
    <w:name w:val="Hyperlink"/>
    <w:uiPriority w:val="99"/>
    <w:rsid w:val="00CB4B39"/>
    <w:rPr>
      <w:color w:val="0000FF"/>
      <w:u w:val="single"/>
    </w:rPr>
  </w:style>
  <w:style w:type="paragraph" w:styleId="BodyText3">
    <w:name w:val="Body Text 3"/>
    <w:basedOn w:val="Normal"/>
    <w:rsid w:val="00CE3D01"/>
    <w:pPr>
      <w:keepNext/>
    </w:pPr>
    <w:rPr>
      <w:i/>
      <w:iCs/>
      <w:sz w:val="24"/>
    </w:rPr>
  </w:style>
  <w:style w:type="paragraph" w:styleId="BodyText">
    <w:name w:val="Body Text"/>
    <w:basedOn w:val="Normal"/>
    <w:link w:val="BodyTextChar"/>
    <w:rsid w:val="00CE3D01"/>
    <w:pPr>
      <w:jc w:val="center"/>
    </w:pPr>
  </w:style>
  <w:style w:type="paragraph" w:styleId="BodyText2">
    <w:name w:val="Body Text 2"/>
    <w:basedOn w:val="Normal"/>
    <w:rsid w:val="00CE3D01"/>
    <w:pPr>
      <w:pBdr>
        <w:top w:val="single" w:sz="4" w:space="1" w:color="auto" w:shadow="1"/>
        <w:left w:val="single" w:sz="4" w:space="4" w:color="auto" w:shadow="1"/>
        <w:bottom w:val="single" w:sz="4" w:space="1" w:color="auto" w:shadow="1"/>
        <w:right w:val="single" w:sz="4" w:space="4" w:color="auto" w:shadow="1"/>
      </w:pBdr>
    </w:pPr>
  </w:style>
  <w:style w:type="paragraph" w:customStyle="1" w:styleId="AtxtHdgs">
    <w:name w:val="Atxt_Hdgs"/>
    <w:basedOn w:val="Normal"/>
    <w:rsid w:val="00CE3D01"/>
    <w:pPr>
      <w:jc w:val="center"/>
    </w:pPr>
    <w:rPr>
      <w:sz w:val="24"/>
      <w:lang w:eastAsia="en-US"/>
    </w:rPr>
  </w:style>
  <w:style w:type="paragraph" w:styleId="EndnoteText">
    <w:name w:val="endnote text"/>
    <w:basedOn w:val="Normal"/>
    <w:rsid w:val="00CB4B39"/>
    <w:rPr>
      <w:rFonts w:eastAsia="MS Mincho"/>
      <w:lang w:eastAsia="en-US"/>
    </w:rPr>
  </w:style>
  <w:style w:type="paragraph" w:styleId="CommentText">
    <w:name w:val="annotation text"/>
    <w:basedOn w:val="Normal"/>
    <w:link w:val="CommentTextChar"/>
    <w:rsid w:val="00CB4B39"/>
    <w:rPr>
      <w:rFonts w:eastAsia="MS Mincho"/>
      <w:sz w:val="20"/>
      <w:lang w:eastAsia="en-US"/>
    </w:rPr>
  </w:style>
  <w:style w:type="paragraph" w:styleId="Title">
    <w:name w:val="Title"/>
    <w:basedOn w:val="Normal"/>
    <w:link w:val="TitleChar1"/>
    <w:qFormat/>
    <w:rsid w:val="00CE3D01"/>
    <w:pPr>
      <w:shd w:val="clear" w:color="auto" w:fill="FFFFFF"/>
      <w:tabs>
        <w:tab w:val="left" w:pos="0"/>
        <w:tab w:val="left" w:pos="720"/>
        <w:tab w:val="left" w:pos="1418"/>
        <w:tab w:val="right" w:pos="1644"/>
        <w:tab w:val="right" w:pos="2155"/>
        <w:tab w:val="right" w:pos="2880"/>
        <w:tab w:val="right" w:pos="3600"/>
        <w:tab w:val="right" w:pos="4321"/>
        <w:tab w:val="right" w:pos="5041"/>
        <w:tab w:val="right" w:pos="5761"/>
        <w:tab w:val="right" w:pos="6481"/>
        <w:tab w:val="right" w:pos="7201"/>
        <w:tab w:val="right" w:pos="7637"/>
        <w:tab w:val="right" w:pos="8641"/>
      </w:tabs>
      <w:ind w:left="720"/>
      <w:jc w:val="center"/>
    </w:pPr>
    <w:rPr>
      <w:rFonts w:eastAsia="MS Mincho"/>
      <w:b/>
      <w:sz w:val="26"/>
      <w:u w:val="single"/>
      <w:lang w:eastAsia="en-US"/>
    </w:rPr>
  </w:style>
  <w:style w:type="character" w:customStyle="1" w:styleId="TitleChar1">
    <w:name w:val="Title Char1"/>
    <w:link w:val="Title"/>
    <w:rsid w:val="00CE3D01"/>
    <w:rPr>
      <w:rFonts w:eastAsia="MS Mincho"/>
      <w:b/>
      <w:sz w:val="26"/>
      <w:u w:val="single"/>
      <w:lang w:val="en-GB" w:eastAsia="en-US" w:bidi="ar-SA"/>
    </w:rPr>
  </w:style>
  <w:style w:type="paragraph" w:styleId="BalloonText">
    <w:name w:val="Balloon Text"/>
    <w:basedOn w:val="Normal"/>
    <w:link w:val="BalloonTextChar"/>
    <w:rsid w:val="00CB4B39"/>
    <w:rPr>
      <w:rFonts w:ascii="Tahoma" w:hAnsi="Tahoma" w:cs="Tahoma"/>
      <w:sz w:val="16"/>
      <w:szCs w:val="16"/>
    </w:rPr>
  </w:style>
  <w:style w:type="paragraph" w:customStyle="1" w:styleId="AppendixTOC">
    <w:name w:val="AppendixTOC"/>
    <w:basedOn w:val="AnnoPara"/>
    <w:rsid w:val="00CE3D01"/>
    <w:pPr>
      <w:numPr>
        <w:ilvl w:val="0"/>
        <w:numId w:val="0"/>
      </w:numPr>
      <w:tabs>
        <w:tab w:val="left" w:pos="550"/>
        <w:tab w:val="right" w:pos="9337"/>
      </w:tabs>
    </w:pPr>
  </w:style>
  <w:style w:type="paragraph" w:styleId="DocumentMap">
    <w:name w:val="Document Map"/>
    <w:basedOn w:val="Normal"/>
    <w:rsid w:val="00CE3D01"/>
    <w:pPr>
      <w:shd w:val="clear" w:color="auto" w:fill="000080"/>
    </w:pPr>
    <w:rPr>
      <w:rFonts w:ascii="Tahoma" w:hAnsi="Tahoma" w:cs="Tahoma"/>
      <w:sz w:val="20"/>
    </w:rPr>
  </w:style>
  <w:style w:type="paragraph" w:customStyle="1" w:styleId="RegSectionLevel1">
    <w:name w:val="RegSectionLevel1"/>
    <w:basedOn w:val="RegParaNoNumb"/>
    <w:rsid w:val="00CE3D01"/>
    <w:pPr>
      <w:keepNext/>
      <w:numPr>
        <w:ilvl w:val="1"/>
        <w:numId w:val="12"/>
      </w:numPr>
      <w:spacing w:before="120"/>
      <w:outlineLvl w:val="0"/>
    </w:pPr>
    <w:rPr>
      <w:b/>
    </w:rPr>
  </w:style>
  <w:style w:type="paragraph" w:customStyle="1" w:styleId="RegSectionLevel2">
    <w:name w:val="RegSectionLevel2"/>
    <w:basedOn w:val="Normal"/>
    <w:link w:val="RegSectionLevel2Char"/>
    <w:rsid w:val="00CE3D01"/>
    <w:pPr>
      <w:keepNext/>
      <w:numPr>
        <w:ilvl w:val="2"/>
        <w:numId w:val="12"/>
      </w:numPr>
    </w:pPr>
    <w:rPr>
      <w:b/>
      <w:szCs w:val="22"/>
    </w:rPr>
  </w:style>
  <w:style w:type="paragraph" w:customStyle="1" w:styleId="RegSectionLevel3">
    <w:name w:val="RegSectionLevel3"/>
    <w:basedOn w:val="Normal"/>
    <w:rsid w:val="00CE3D01"/>
    <w:pPr>
      <w:keepNext/>
      <w:numPr>
        <w:ilvl w:val="3"/>
        <w:numId w:val="12"/>
      </w:numPr>
      <w:autoSpaceDE w:val="0"/>
      <w:autoSpaceDN w:val="0"/>
      <w:adjustRightInd w:val="0"/>
    </w:pPr>
    <w:rPr>
      <w:b/>
      <w:bCs/>
      <w:szCs w:val="22"/>
      <w:lang w:val="en-US"/>
    </w:rPr>
  </w:style>
  <w:style w:type="paragraph" w:customStyle="1" w:styleId="RegSectionLevel4">
    <w:name w:val="RegSectionLevel4"/>
    <w:basedOn w:val="Normal"/>
    <w:rsid w:val="00CE3D01"/>
    <w:pPr>
      <w:keepNext/>
      <w:numPr>
        <w:ilvl w:val="4"/>
        <w:numId w:val="12"/>
      </w:numPr>
      <w:spacing w:after="120"/>
    </w:pPr>
    <w:rPr>
      <w:rFonts w:eastAsia="MS Mincho"/>
      <w:b/>
    </w:rPr>
  </w:style>
  <w:style w:type="paragraph" w:customStyle="1" w:styleId="RegSectionLevel5">
    <w:name w:val="RegSectionLevel5"/>
    <w:basedOn w:val="Normal"/>
    <w:rsid w:val="00CE3D01"/>
    <w:pPr>
      <w:keepNext/>
      <w:numPr>
        <w:ilvl w:val="5"/>
        <w:numId w:val="12"/>
      </w:numPr>
      <w:spacing w:after="120"/>
    </w:pPr>
    <w:rPr>
      <w:rFonts w:eastAsia="MS Mincho"/>
      <w:b/>
    </w:rPr>
  </w:style>
  <w:style w:type="paragraph" w:customStyle="1" w:styleId="RegSectionLevel6">
    <w:name w:val="RegSectionLevel6"/>
    <w:basedOn w:val="Normal"/>
    <w:rsid w:val="00CE3D01"/>
    <w:pPr>
      <w:keepNext/>
      <w:numPr>
        <w:ilvl w:val="6"/>
        <w:numId w:val="12"/>
      </w:numPr>
      <w:spacing w:after="120"/>
    </w:pPr>
    <w:rPr>
      <w:rFonts w:eastAsia="MS Mincho"/>
      <w:b/>
    </w:rPr>
  </w:style>
  <w:style w:type="paragraph" w:customStyle="1" w:styleId="RegSectionLevel7">
    <w:name w:val="RegSectionLevel7"/>
    <w:basedOn w:val="Normal"/>
    <w:rsid w:val="00CE3D01"/>
    <w:pPr>
      <w:keepNext/>
      <w:numPr>
        <w:ilvl w:val="7"/>
        <w:numId w:val="12"/>
      </w:numPr>
      <w:spacing w:after="120"/>
    </w:pPr>
    <w:rPr>
      <w:rFonts w:eastAsia="MS Mincho"/>
      <w:b/>
    </w:rPr>
  </w:style>
  <w:style w:type="paragraph" w:customStyle="1" w:styleId="RegSectionLevel8">
    <w:name w:val="RegSectionLevel8"/>
    <w:basedOn w:val="Normal"/>
    <w:rsid w:val="00CE3D01"/>
    <w:pPr>
      <w:keepNext/>
      <w:numPr>
        <w:ilvl w:val="8"/>
        <w:numId w:val="12"/>
      </w:numPr>
      <w:spacing w:after="120"/>
    </w:pPr>
    <w:rPr>
      <w:rFonts w:eastAsia="MS Mincho"/>
      <w:b/>
    </w:rPr>
  </w:style>
  <w:style w:type="paragraph" w:customStyle="1" w:styleId="RegSectionLevel9">
    <w:name w:val="RegSectionLevel9"/>
    <w:basedOn w:val="Normal"/>
    <w:rsid w:val="00CE3D01"/>
    <w:pPr>
      <w:keepNext/>
      <w:numPr>
        <w:ilvl w:val="8"/>
        <w:numId w:val="6"/>
      </w:numPr>
      <w:spacing w:after="160"/>
    </w:pPr>
    <w:rPr>
      <w:rFonts w:eastAsia="MS Mincho"/>
      <w:b/>
    </w:rPr>
  </w:style>
  <w:style w:type="paragraph" w:customStyle="1" w:styleId="RegParaNoNumb">
    <w:name w:val="RegParaNoNumb"/>
    <w:basedOn w:val="RegPara"/>
    <w:link w:val="RegParaNoNumbChar"/>
    <w:rsid w:val="00CE3D01"/>
    <w:pPr>
      <w:numPr>
        <w:ilvl w:val="0"/>
        <w:numId w:val="0"/>
      </w:numPr>
    </w:pPr>
    <w:rPr>
      <w:rFonts w:eastAsia="MS Mincho"/>
      <w:lang w:eastAsia="en-US"/>
    </w:rPr>
  </w:style>
  <w:style w:type="paragraph" w:customStyle="1" w:styleId="RegTableText">
    <w:name w:val="RegTableText"/>
    <w:basedOn w:val="RegPara"/>
    <w:link w:val="RegTableTextChar"/>
    <w:rsid w:val="00CE3D01"/>
    <w:pPr>
      <w:numPr>
        <w:ilvl w:val="0"/>
        <w:numId w:val="10"/>
      </w:numPr>
      <w:tabs>
        <w:tab w:val="clear" w:pos="0"/>
        <w:tab w:val="num" w:pos="720"/>
      </w:tabs>
      <w:spacing w:before="20" w:after="20"/>
      <w:ind w:left="720" w:hanging="360"/>
    </w:pPr>
  </w:style>
  <w:style w:type="paragraph" w:customStyle="1" w:styleId="TableColumnHeading">
    <w:name w:val="TableColumnHeading"/>
    <w:basedOn w:val="RegTableText"/>
    <w:rsid w:val="00CE3D01"/>
    <w:pPr>
      <w:spacing w:before="40" w:after="40"/>
      <w:jc w:val="center"/>
    </w:pPr>
    <w:rPr>
      <w:b/>
    </w:rPr>
  </w:style>
  <w:style w:type="table" w:customStyle="1" w:styleId="RegTableGridlines">
    <w:name w:val="RegTableGridlines"/>
    <w:basedOn w:val="TableNormal"/>
    <w:rsid w:val="00CE3D01"/>
    <w:pPr>
      <w:keepNext/>
      <w:spacing w:before="20" w:after="20"/>
    </w:pPr>
    <w:rPr>
      <w:rFonts w:eastAsia="Times New Roman"/>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Pr>
    <w:trPr>
      <w:cantSplit/>
      <w:jc w:val="center"/>
    </w:trPr>
    <w:tcPr>
      <w:shd w:val="clear" w:color="auto" w:fill="auto"/>
    </w:tcPr>
    <w:tblStylePr w:type="firstRow">
      <w:pPr>
        <w:wordWrap/>
        <w:spacing w:beforeLines="0" w:beforeAutospacing="0" w:afterLines="0" w:afterAutospacing="0"/>
        <w:jc w:val="center"/>
      </w:pPr>
      <w:rPr>
        <w:b/>
      </w:rPr>
      <w:tblPr/>
      <w:trPr>
        <w:cantSplit w:val="0"/>
      </w:trPr>
      <w:tcPr>
        <w:shd w:val="clear" w:color="auto" w:fill="D9D9D9"/>
        <w:vAlign w:val="center"/>
      </w:tcPr>
    </w:tblStylePr>
    <w:tblStylePr w:type="lastRow">
      <w:pPr>
        <w:keepNext w:val="0"/>
        <w:wordWrap/>
      </w:pPr>
    </w:tblStylePr>
    <w:tblStylePr w:type="firstCol">
      <w:pPr>
        <w:wordWrap/>
      </w:pPr>
      <w:rPr>
        <w:b/>
      </w:rPr>
    </w:tblStylePr>
  </w:style>
  <w:style w:type="table" w:customStyle="1" w:styleId="RegTableSpecial">
    <w:name w:val="RegTableSpecial"/>
    <w:basedOn w:val="TableNormal"/>
    <w:rsid w:val="00CE3D01"/>
    <w:pPr>
      <w:keepNext/>
    </w:pPr>
    <w:rPr>
      <w:rFonts w:eastAsia="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wordWrap/>
        <w:spacing w:beforeLines="0" w:beforeAutospacing="0" w:afterLines="0" w:afterAutospacing="0"/>
        <w:jc w:val="center"/>
      </w:pPr>
      <w:rPr>
        <w:b/>
      </w:rPr>
      <w:tblPr/>
      <w:tcPr>
        <w:shd w:val="clear" w:color="auto" w:fill="D9D9D9"/>
        <w:vAlign w:val="center"/>
      </w:tcPr>
    </w:tblStylePr>
    <w:tblStylePr w:type="lastRow">
      <w:pPr>
        <w:keepNext w:val="0"/>
        <w:wordWrap/>
      </w:pPr>
    </w:tblStylePr>
    <w:tblStylePr w:type="firstCol">
      <w:pPr>
        <w:wordWrap/>
        <w:spacing w:beforeLines="0" w:beforeAutospacing="0" w:afterLines="0" w:afterAutospacing="0"/>
        <w:jc w:val="center"/>
      </w:pPr>
      <w:rPr>
        <w:b/>
      </w:rPr>
      <w:tblPr/>
      <w:tcPr>
        <w:shd w:val="clear" w:color="auto" w:fill="D9D9D9"/>
      </w:tcPr>
    </w:tblStylePr>
  </w:style>
  <w:style w:type="table" w:customStyle="1" w:styleId="RegTableDataParameter">
    <w:name w:val="RegTableDataParameter"/>
    <w:basedOn w:val="TableNormal"/>
    <w:rsid w:val="00CE3D01"/>
    <w:pPr>
      <w:keepNext/>
    </w:pPr>
    <w:rPr>
      <w:rFonts w:eastAsia="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Pr>
    <w:trPr>
      <w:cantSplit/>
      <w:jc w:val="center"/>
    </w:trPr>
    <w:tcPr>
      <w:shd w:val="clear" w:color="auto" w:fill="auto"/>
    </w:tcPr>
    <w:tblStylePr w:type="lastRow">
      <w:pPr>
        <w:keepNext w:val="0"/>
        <w:wordWrap/>
      </w:pPr>
    </w:tblStylePr>
    <w:tblStylePr w:type="firstCol">
      <w:rPr>
        <w:b/>
      </w:rPr>
      <w:tblPr/>
      <w:tcPr>
        <w:shd w:val="clear" w:color="auto" w:fill="D9D9D9"/>
      </w:tcPr>
    </w:tblStylePr>
  </w:style>
  <w:style w:type="table" w:customStyle="1" w:styleId="RegTableNoGridLines">
    <w:name w:val="RegTableNoGridLines"/>
    <w:basedOn w:val="RegTableGridlines"/>
    <w:rsid w:val="00CE3D01"/>
    <w:pPr>
      <w:keepLines/>
    </w:pPr>
    <w:tblPr/>
    <w:tcPr>
      <w:shd w:val="clear" w:color="auto" w:fill="D9D9D9"/>
    </w:tcPr>
    <w:tblStylePr w:type="firstRow">
      <w:pPr>
        <w:wordWrap/>
        <w:spacing w:beforeLines="0" w:beforeAutospacing="0" w:afterLines="0" w:afterAutospacing="0"/>
        <w:jc w:val="center"/>
      </w:pPr>
      <w:rPr>
        <w:b/>
      </w:rPr>
      <w:tblPr/>
      <w:trPr>
        <w:cantSplit w:val="0"/>
      </w:trPr>
      <w:tcPr>
        <w:shd w:val="clear" w:color="auto" w:fill="D9D9D9"/>
        <w:vAlign w:val="center"/>
      </w:tcPr>
    </w:tblStylePr>
    <w:tblStylePr w:type="lastRow">
      <w:pPr>
        <w:keepNext w:val="0"/>
        <w:wordWrap/>
      </w:pPr>
    </w:tblStylePr>
    <w:tblStylePr w:type="firstCol">
      <w:pPr>
        <w:wordWrap/>
      </w:pPr>
      <w:rPr>
        <w:b/>
      </w:rPr>
    </w:tblStylePr>
  </w:style>
  <w:style w:type="paragraph" w:styleId="ListContinue3">
    <w:name w:val="List Continue 3"/>
    <w:basedOn w:val="Normal"/>
    <w:rsid w:val="00CE3D01"/>
    <w:pPr>
      <w:spacing w:after="120"/>
      <w:ind w:left="849"/>
    </w:pPr>
  </w:style>
  <w:style w:type="character" w:customStyle="1" w:styleId="RegParaChar">
    <w:name w:val="RegPara Char"/>
    <w:link w:val="RegPara"/>
    <w:rsid w:val="00CE3D01"/>
    <w:rPr>
      <w:rFonts w:ascii="Arial" w:eastAsia="Times New Roman" w:hAnsi="Arial"/>
      <w:sz w:val="22"/>
      <w:lang w:val="en-GB" w:eastAsia="de-DE"/>
    </w:rPr>
  </w:style>
  <w:style w:type="character" w:customStyle="1" w:styleId="RegParaNoNumbChar">
    <w:name w:val="RegParaNoNumb Char"/>
    <w:link w:val="RegParaNoNumb"/>
    <w:rsid w:val="00CE3D01"/>
    <w:rPr>
      <w:rFonts w:eastAsia="MS Mincho"/>
      <w:sz w:val="22"/>
      <w:lang w:val="en-GB" w:eastAsia="en-US" w:bidi="ar-SA"/>
    </w:rPr>
  </w:style>
  <w:style w:type="paragraph" w:customStyle="1" w:styleId="RegTOCSectionApppendix">
    <w:name w:val="RegTOC Section + Apppendix"/>
    <w:basedOn w:val="TOC2"/>
    <w:rsid w:val="00CE3D01"/>
    <w:pPr>
      <w:tabs>
        <w:tab w:val="left" w:pos="1843"/>
      </w:tabs>
      <w:spacing w:before="40" w:after="40"/>
      <w:ind w:left="1843" w:hanging="1276"/>
    </w:pPr>
    <w:rPr>
      <w:noProof/>
      <w:lang w:val="en-US"/>
    </w:rPr>
  </w:style>
  <w:style w:type="paragraph" w:styleId="Caption">
    <w:name w:val="caption"/>
    <w:basedOn w:val="Normal"/>
    <w:qFormat/>
    <w:rsid w:val="00CB4B39"/>
    <w:pPr>
      <w:keepNext/>
      <w:keepLines/>
      <w:tabs>
        <w:tab w:val="left" w:pos="1134"/>
        <w:tab w:val="left" w:pos="1956"/>
        <w:tab w:val="left" w:pos="2126"/>
        <w:tab w:val="left" w:pos="2693"/>
        <w:tab w:val="left" w:pos="3260"/>
      </w:tabs>
      <w:spacing w:before="320" w:after="120"/>
      <w:ind w:left="1956" w:hanging="1247"/>
    </w:pPr>
    <w:rPr>
      <w:b/>
      <w:bCs/>
      <w:sz w:val="20"/>
    </w:rPr>
  </w:style>
  <w:style w:type="paragraph" w:styleId="TOC9">
    <w:name w:val="toc 9"/>
    <w:basedOn w:val="Normal"/>
    <w:next w:val="Normal"/>
    <w:autoRedefine/>
    <w:uiPriority w:val="39"/>
    <w:rsid w:val="00CB4B39"/>
    <w:pPr>
      <w:ind w:left="1760"/>
    </w:pPr>
  </w:style>
  <w:style w:type="character" w:styleId="CommentReference">
    <w:name w:val="annotation reference"/>
    <w:rsid w:val="00CE3D01"/>
    <w:rPr>
      <w:sz w:val="16"/>
      <w:szCs w:val="16"/>
    </w:rPr>
  </w:style>
  <w:style w:type="paragraph" w:styleId="CommentSubject">
    <w:name w:val="annotation subject"/>
    <w:basedOn w:val="CommentText"/>
    <w:next w:val="CommentText"/>
    <w:rsid w:val="00CB4B39"/>
    <w:rPr>
      <w:rFonts w:eastAsia="Times New Roman"/>
      <w:b/>
      <w:bCs/>
      <w:lang w:eastAsia="de-DE"/>
    </w:rPr>
  </w:style>
  <w:style w:type="character" w:styleId="EndnoteReference">
    <w:name w:val="endnote reference"/>
    <w:rsid w:val="00CE3D01"/>
    <w:rPr>
      <w:vertAlign w:val="superscript"/>
    </w:rPr>
  </w:style>
  <w:style w:type="paragraph" w:styleId="Index1">
    <w:name w:val="index 1"/>
    <w:basedOn w:val="Normal"/>
    <w:next w:val="Normal"/>
    <w:autoRedefine/>
    <w:rsid w:val="00CE3D01"/>
    <w:pPr>
      <w:ind w:left="220" w:hanging="220"/>
    </w:pPr>
  </w:style>
  <w:style w:type="paragraph" w:styleId="Index2">
    <w:name w:val="index 2"/>
    <w:basedOn w:val="Normal"/>
    <w:next w:val="Normal"/>
    <w:autoRedefine/>
    <w:rsid w:val="00CE3D01"/>
    <w:pPr>
      <w:ind w:left="440" w:hanging="220"/>
    </w:pPr>
  </w:style>
  <w:style w:type="paragraph" w:styleId="Index3">
    <w:name w:val="index 3"/>
    <w:basedOn w:val="Normal"/>
    <w:next w:val="Normal"/>
    <w:autoRedefine/>
    <w:rsid w:val="00CE3D01"/>
    <w:pPr>
      <w:ind w:left="660" w:hanging="220"/>
    </w:pPr>
  </w:style>
  <w:style w:type="paragraph" w:styleId="Index4">
    <w:name w:val="index 4"/>
    <w:basedOn w:val="Normal"/>
    <w:next w:val="Normal"/>
    <w:autoRedefine/>
    <w:rsid w:val="00CE3D01"/>
    <w:pPr>
      <w:ind w:left="880" w:hanging="220"/>
    </w:pPr>
  </w:style>
  <w:style w:type="paragraph" w:styleId="Index5">
    <w:name w:val="index 5"/>
    <w:basedOn w:val="Normal"/>
    <w:next w:val="Normal"/>
    <w:autoRedefine/>
    <w:rsid w:val="00CE3D01"/>
    <w:pPr>
      <w:ind w:left="1100" w:hanging="220"/>
    </w:pPr>
  </w:style>
  <w:style w:type="paragraph" w:styleId="Index6">
    <w:name w:val="index 6"/>
    <w:basedOn w:val="Normal"/>
    <w:next w:val="Normal"/>
    <w:autoRedefine/>
    <w:rsid w:val="00CE3D01"/>
    <w:pPr>
      <w:ind w:left="1320" w:hanging="220"/>
    </w:pPr>
  </w:style>
  <w:style w:type="paragraph" w:styleId="Index7">
    <w:name w:val="index 7"/>
    <w:basedOn w:val="Normal"/>
    <w:next w:val="Normal"/>
    <w:autoRedefine/>
    <w:rsid w:val="00CE3D01"/>
    <w:pPr>
      <w:ind w:left="1540" w:hanging="220"/>
    </w:pPr>
  </w:style>
  <w:style w:type="paragraph" w:styleId="Index8">
    <w:name w:val="index 8"/>
    <w:basedOn w:val="Normal"/>
    <w:next w:val="Normal"/>
    <w:autoRedefine/>
    <w:rsid w:val="00CE3D01"/>
    <w:pPr>
      <w:ind w:left="1760" w:hanging="220"/>
    </w:pPr>
  </w:style>
  <w:style w:type="paragraph" w:styleId="Index9">
    <w:name w:val="index 9"/>
    <w:basedOn w:val="Normal"/>
    <w:next w:val="Normal"/>
    <w:autoRedefine/>
    <w:rsid w:val="00CE3D01"/>
    <w:pPr>
      <w:ind w:left="1980" w:hanging="220"/>
    </w:pPr>
  </w:style>
  <w:style w:type="paragraph" w:styleId="IndexHeading">
    <w:name w:val="index heading"/>
    <w:basedOn w:val="Normal"/>
    <w:next w:val="Normal"/>
    <w:rsid w:val="00CB4B39"/>
    <w:rPr>
      <w:rFonts w:cs="Arial"/>
      <w:b/>
      <w:bCs/>
    </w:rPr>
  </w:style>
  <w:style w:type="paragraph" w:styleId="MacroText">
    <w:name w:val="macro"/>
    <w:rsid w:val="00CE3D0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de-DE"/>
    </w:rPr>
  </w:style>
  <w:style w:type="paragraph" w:styleId="TableofAuthorities">
    <w:name w:val="table of authorities"/>
    <w:basedOn w:val="Normal"/>
    <w:next w:val="Normal"/>
    <w:rsid w:val="00CB4B39"/>
    <w:pPr>
      <w:ind w:left="220" w:hanging="220"/>
    </w:pPr>
  </w:style>
  <w:style w:type="paragraph" w:styleId="TableofFigures">
    <w:name w:val="table of figures"/>
    <w:basedOn w:val="Normal"/>
    <w:next w:val="Normal"/>
    <w:rsid w:val="00CB4B39"/>
  </w:style>
  <w:style w:type="paragraph" w:styleId="TOAHeading">
    <w:name w:val="toa heading"/>
    <w:basedOn w:val="Normal"/>
    <w:next w:val="Normal"/>
    <w:rsid w:val="00CB4B39"/>
    <w:pPr>
      <w:spacing w:before="120"/>
    </w:pPr>
    <w:rPr>
      <w:rFonts w:cs="Arial"/>
      <w:b/>
      <w:bCs/>
      <w:sz w:val="24"/>
      <w:szCs w:val="24"/>
    </w:rPr>
  </w:style>
  <w:style w:type="paragraph" w:styleId="TOC4">
    <w:name w:val="toc 4"/>
    <w:basedOn w:val="TOC1"/>
    <w:uiPriority w:val="39"/>
    <w:rsid w:val="00CB4B39"/>
    <w:pPr>
      <w:ind w:left="3544" w:hanging="1276"/>
    </w:pPr>
    <w:rPr>
      <w:b w:val="0"/>
      <w:caps w:val="0"/>
      <w:noProof/>
    </w:rPr>
  </w:style>
  <w:style w:type="paragraph" w:styleId="TOC5">
    <w:name w:val="toc 5"/>
    <w:basedOn w:val="TOC1"/>
    <w:uiPriority w:val="39"/>
    <w:rsid w:val="00CB4B39"/>
    <w:pPr>
      <w:ind w:left="5103" w:hanging="1559"/>
    </w:pPr>
    <w:rPr>
      <w:b w:val="0"/>
      <w:caps w:val="0"/>
      <w:noProof/>
    </w:rPr>
  </w:style>
  <w:style w:type="paragraph" w:styleId="TOC6">
    <w:name w:val="toc 6"/>
    <w:basedOn w:val="TOC1"/>
    <w:next w:val="Normal"/>
    <w:uiPriority w:val="39"/>
    <w:rsid w:val="00CB4B39"/>
    <w:pPr>
      <w:ind w:left="1588" w:hanging="1588"/>
    </w:pPr>
    <w:rPr>
      <w:noProof/>
    </w:rPr>
  </w:style>
  <w:style w:type="paragraph" w:styleId="TOC7">
    <w:name w:val="toc 7"/>
    <w:basedOn w:val="Normal"/>
    <w:next w:val="Normal"/>
    <w:autoRedefine/>
    <w:uiPriority w:val="39"/>
    <w:rsid w:val="00CB4B39"/>
    <w:pPr>
      <w:ind w:left="1320"/>
    </w:pPr>
  </w:style>
  <w:style w:type="paragraph" w:styleId="TOC8">
    <w:name w:val="toc 8"/>
    <w:basedOn w:val="Normal"/>
    <w:next w:val="Normal"/>
    <w:autoRedefine/>
    <w:uiPriority w:val="39"/>
    <w:rsid w:val="00CB4B39"/>
    <w:pPr>
      <w:ind w:left="1540"/>
    </w:pPr>
  </w:style>
  <w:style w:type="table" w:customStyle="1" w:styleId="RegTableFirstRowColumn">
    <w:name w:val="RegTableFirstRowColumn"/>
    <w:basedOn w:val="RegTableDataParameter"/>
    <w:rsid w:val="00CE3D01"/>
    <w:tblPr>
      <w:tblCellMar>
        <w:top w:w="23" w:type="dxa"/>
        <w:bottom w:w="23" w:type="dxa"/>
      </w:tblCellMar>
    </w:tblPr>
    <w:tcPr>
      <w:shd w:val="clear" w:color="auto" w:fill="auto"/>
    </w:tcPr>
    <w:tblStylePr w:type="firstRow">
      <w:pPr>
        <w:jc w:val="center"/>
      </w:pPr>
      <w:rPr>
        <w:b/>
        <w:color w:val="auto"/>
      </w:rPr>
      <w:tblPr/>
      <w:tcPr>
        <w:shd w:val="clear" w:color="auto" w:fill="D9D9D9"/>
        <w:vAlign w:val="center"/>
      </w:tcPr>
    </w:tblStylePr>
    <w:tblStylePr w:type="lastRow">
      <w:pPr>
        <w:keepNext w:val="0"/>
        <w:wordWrap/>
      </w:pPr>
    </w:tblStylePr>
    <w:tblStylePr w:type="firstCol">
      <w:rPr>
        <w:b/>
      </w:rPr>
      <w:tblPr/>
      <w:tcPr>
        <w:shd w:val="clear" w:color="auto" w:fill="D9D9D9"/>
      </w:tcPr>
    </w:tblStylePr>
  </w:style>
  <w:style w:type="paragraph" w:customStyle="1" w:styleId="RegParaNoNumbKeepWNext">
    <w:name w:val="RegParaNoNumbKeepWNext"/>
    <w:basedOn w:val="RegParaNoNumb"/>
    <w:next w:val="Normal"/>
    <w:link w:val="RegParaNoNumbKeepWNextChar"/>
    <w:rsid w:val="00CE3D01"/>
    <w:pPr>
      <w:keepNext/>
      <w:spacing w:before="0"/>
    </w:pPr>
    <w:rPr>
      <w:i/>
    </w:rPr>
  </w:style>
  <w:style w:type="paragraph" w:customStyle="1" w:styleId="PartTitleBox">
    <w:name w:val="PartTitleBox"/>
    <w:basedOn w:val="Normal"/>
    <w:rsid w:val="00CE3D01"/>
    <w:pPr>
      <w:keepNext/>
      <w:keepLines/>
      <w:numPr>
        <w:numId w:val="12"/>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hAnsi="Times New Roman Bold"/>
      <w:b/>
      <w:u w:val="dash"/>
    </w:rPr>
  </w:style>
  <w:style w:type="character" w:customStyle="1" w:styleId="RegSectionLevel2Char">
    <w:name w:val="RegSectionLevel2 Char"/>
    <w:link w:val="RegSectionLevel2"/>
    <w:rsid w:val="00002694"/>
    <w:rPr>
      <w:rFonts w:ascii="Arial" w:eastAsia="Times New Roman" w:hAnsi="Arial"/>
      <w:b/>
      <w:sz w:val="22"/>
      <w:szCs w:val="22"/>
      <w:lang w:val="en-GB" w:eastAsia="de-DE"/>
    </w:rPr>
  </w:style>
  <w:style w:type="table" w:styleId="TableGrid">
    <w:name w:val="Table Grid"/>
    <w:basedOn w:val="TableNormal"/>
    <w:rsid w:val="00CE3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sid w:val="00CE3D01"/>
    <w:rPr>
      <w:rFonts w:eastAsia="MS Mincho"/>
      <w:b/>
      <w:sz w:val="26"/>
      <w:u w:val="single"/>
      <w:lang w:val="en-GB" w:eastAsia="en-US" w:bidi="ar-SA"/>
    </w:rPr>
  </w:style>
  <w:style w:type="paragraph" w:customStyle="1" w:styleId="HeadLevel3">
    <w:name w:val="HeadLevel3"/>
    <w:basedOn w:val="Normal"/>
    <w:autoRedefine/>
    <w:rsid w:val="00CE3D01"/>
    <w:pPr>
      <w:spacing w:before="360" w:after="120"/>
      <w:jc w:val="center"/>
    </w:pPr>
    <w:rPr>
      <w:b/>
      <w:bCs/>
    </w:rPr>
  </w:style>
  <w:style w:type="paragraph" w:customStyle="1" w:styleId="TOCA">
    <w:name w:val="TOC A"/>
    <w:basedOn w:val="Normal"/>
    <w:rsid w:val="00585AD7"/>
    <w:pPr>
      <w:numPr>
        <w:numId w:val="9"/>
      </w:numPr>
      <w:tabs>
        <w:tab w:val="clear" w:pos="1418"/>
        <w:tab w:val="num" w:pos="1440"/>
        <w:tab w:val="left" w:leader="dot" w:pos="6804"/>
        <w:tab w:val="center" w:pos="7796"/>
        <w:tab w:val="center" w:pos="8930"/>
      </w:tabs>
      <w:ind w:left="1440" w:hanging="720"/>
      <w:outlineLvl w:val="1"/>
    </w:pPr>
    <w:rPr>
      <w:lang w:eastAsia="en-US"/>
    </w:rPr>
  </w:style>
  <w:style w:type="paragraph" w:customStyle="1" w:styleId="ReParaNoNum">
    <w:name w:val="ReParaNoNum"/>
    <w:basedOn w:val="Normal"/>
    <w:rsid w:val="00CE3D01"/>
  </w:style>
  <w:style w:type="paragraph" w:customStyle="1" w:styleId="StyleRegSectionLevel1After2pt">
    <w:name w:val="Style RegSectionLevel1 + After:  2 pt"/>
    <w:basedOn w:val="RegSectionLevel1"/>
    <w:rsid w:val="00CE3D01"/>
    <w:pPr>
      <w:spacing w:before="0"/>
    </w:pPr>
    <w:rPr>
      <w:rFonts w:eastAsia="Times New Roman"/>
      <w:bCs/>
    </w:rPr>
  </w:style>
  <w:style w:type="character" w:customStyle="1" w:styleId="left">
    <w:name w:val="left"/>
    <w:basedOn w:val="DefaultParagraphFont"/>
    <w:rsid w:val="00CE3D01"/>
  </w:style>
  <w:style w:type="character" w:customStyle="1" w:styleId="RegTableTextChar">
    <w:name w:val="RegTableText Char"/>
    <w:link w:val="RegTableText"/>
    <w:rsid w:val="00CE3D01"/>
    <w:rPr>
      <w:rFonts w:ascii="Arial" w:eastAsia="Times New Roman" w:hAnsi="Arial"/>
      <w:sz w:val="22"/>
      <w:lang w:val="en-GB" w:eastAsia="de-DE"/>
    </w:rPr>
  </w:style>
  <w:style w:type="paragraph" w:customStyle="1" w:styleId="2BulletList">
    <w:name w:val="2Bullet List"/>
    <w:rsid w:val="00CE3D01"/>
    <w:rPr>
      <w:rFonts w:eastAsia="Times New Roman"/>
      <w:snapToGrid w:val="0"/>
      <w:sz w:val="24"/>
      <w:lang w:val="en-US" w:eastAsia="en-US"/>
    </w:rPr>
  </w:style>
  <w:style w:type="paragraph" w:customStyle="1" w:styleId="RegFormPDDSectL1">
    <w:name w:val="RegFormPDDSectL1"/>
    <w:basedOn w:val="Normal"/>
    <w:rsid w:val="00CE3D01"/>
    <w:pPr>
      <w:keepNext/>
      <w:keepLines/>
      <w:numPr>
        <w:numId w:val="11"/>
      </w:numPr>
      <w:pBdr>
        <w:top w:val="single" w:sz="4" w:space="1" w:color="auto"/>
        <w:left w:val="single" w:sz="4" w:space="5" w:color="auto"/>
        <w:bottom w:val="single" w:sz="4" w:space="1" w:color="auto"/>
        <w:right w:val="single" w:sz="4" w:space="10" w:color="auto"/>
      </w:pBdr>
      <w:shd w:val="clear" w:color="auto" w:fill="D9D9D9"/>
      <w:ind w:right="227"/>
      <w:outlineLvl w:val="0"/>
    </w:pPr>
    <w:rPr>
      <w:b/>
      <w:lang w:eastAsia="en-US"/>
    </w:rPr>
  </w:style>
  <w:style w:type="paragraph" w:customStyle="1" w:styleId="RegFormPDDSectL2">
    <w:name w:val="RegFormPDDSectL2"/>
    <w:basedOn w:val="Normal"/>
    <w:rsid w:val="00CE3D01"/>
    <w:pPr>
      <w:keepNext/>
      <w:keepLines/>
      <w:numPr>
        <w:ilvl w:val="1"/>
        <w:numId w:val="11"/>
      </w:numPr>
      <w:pBdr>
        <w:top w:val="single" w:sz="4" w:space="1" w:color="auto"/>
        <w:left w:val="single" w:sz="4" w:space="5" w:color="auto"/>
        <w:bottom w:val="single" w:sz="4" w:space="1" w:color="auto"/>
        <w:right w:val="single" w:sz="4" w:space="10" w:color="auto"/>
      </w:pBdr>
      <w:ind w:right="227"/>
    </w:pPr>
    <w:rPr>
      <w:b/>
      <w:lang w:eastAsia="en-US"/>
    </w:rPr>
  </w:style>
  <w:style w:type="paragraph" w:customStyle="1" w:styleId="RegFormPDDSectL3">
    <w:name w:val="RegFormPDDSectL3"/>
    <w:basedOn w:val="Normal"/>
    <w:rsid w:val="00CE3D01"/>
    <w:pPr>
      <w:keepNext/>
      <w:keepLines/>
      <w:numPr>
        <w:ilvl w:val="2"/>
        <w:numId w:val="11"/>
      </w:numPr>
      <w:pBdr>
        <w:top w:val="single" w:sz="4" w:space="1" w:color="auto"/>
        <w:left w:val="single" w:sz="4" w:space="5" w:color="auto"/>
        <w:bottom w:val="single" w:sz="4" w:space="1" w:color="auto"/>
        <w:right w:val="single" w:sz="4" w:space="10" w:color="auto"/>
      </w:pBdr>
      <w:ind w:right="227"/>
    </w:pPr>
    <w:rPr>
      <w:rFonts w:ascii="Times New Roman Bold" w:hAnsi="Times New Roman Bold"/>
      <w:b/>
      <w:lang w:eastAsia="en-US"/>
    </w:rPr>
  </w:style>
  <w:style w:type="paragraph" w:customStyle="1" w:styleId="RegFormPDDSectL4">
    <w:name w:val="RegFormPDDSectL4"/>
    <w:basedOn w:val="RegFormPDDSectL3"/>
    <w:rsid w:val="00CE3D01"/>
    <w:pPr>
      <w:numPr>
        <w:ilvl w:val="3"/>
      </w:numPr>
    </w:pPr>
  </w:style>
  <w:style w:type="paragraph" w:customStyle="1" w:styleId="NormalCentered">
    <w:name w:val="Normal + Centered"/>
    <w:basedOn w:val="Normal"/>
    <w:rsid w:val="00CE3D01"/>
    <w:pPr>
      <w:jc w:val="center"/>
    </w:pPr>
  </w:style>
  <w:style w:type="character" w:customStyle="1" w:styleId="RegParaNoNumbKeepWNextChar">
    <w:name w:val="RegParaNoNumbKeepWNext Char"/>
    <w:link w:val="RegParaNoNumbKeepWNext"/>
    <w:rsid w:val="00B6101D"/>
    <w:rPr>
      <w:rFonts w:eastAsia="MS Mincho"/>
      <w:i/>
      <w:sz w:val="22"/>
      <w:lang w:val="en-GB" w:eastAsia="en-US" w:bidi="ar-SA"/>
    </w:rPr>
  </w:style>
  <w:style w:type="paragraph" w:customStyle="1" w:styleId="SDMTiHead">
    <w:name w:val="SDMTiHead"/>
    <w:basedOn w:val="Header"/>
    <w:rsid w:val="00CB4B39"/>
    <w:pPr>
      <w:ind w:left="-330" w:firstLine="330"/>
    </w:pPr>
    <w:rPr>
      <w:rFonts w:cs="Arial"/>
      <w:caps/>
      <w:szCs w:val="19"/>
    </w:rPr>
  </w:style>
  <w:style w:type="paragraph" w:customStyle="1" w:styleId="SDMTitle2">
    <w:name w:val="SDMTitle2"/>
    <w:basedOn w:val="Normal"/>
    <w:rsid w:val="00CB4B39"/>
    <w:pPr>
      <w:spacing w:after="600"/>
      <w:jc w:val="left"/>
    </w:pPr>
    <w:rPr>
      <w:rFonts w:cs="Arial"/>
      <w:sz w:val="48"/>
      <w:szCs w:val="48"/>
    </w:rPr>
  </w:style>
  <w:style w:type="paragraph" w:customStyle="1" w:styleId="SDMTitle1">
    <w:name w:val="SDMTitle1"/>
    <w:basedOn w:val="Normal"/>
    <w:rsid w:val="00CB4B39"/>
    <w:pPr>
      <w:pBdr>
        <w:bottom w:val="single" w:sz="12" w:space="7" w:color="auto"/>
      </w:pBdr>
      <w:spacing w:before="1800" w:after="200"/>
      <w:jc w:val="left"/>
    </w:pPr>
    <w:rPr>
      <w:rFonts w:cs="Arial"/>
      <w:sz w:val="48"/>
      <w:szCs w:val="48"/>
    </w:rPr>
  </w:style>
  <w:style w:type="paragraph" w:customStyle="1" w:styleId="SDMTiInfo">
    <w:name w:val="SDMTiInfo"/>
    <w:basedOn w:val="Normal"/>
    <w:rsid w:val="00CB4B39"/>
    <w:pPr>
      <w:spacing w:before="300"/>
    </w:pPr>
    <w:rPr>
      <w:rFonts w:cs="Arial"/>
      <w:szCs w:val="22"/>
    </w:rPr>
  </w:style>
  <w:style w:type="paragraph" w:customStyle="1" w:styleId="SDMHead1">
    <w:name w:val="SDMHead1"/>
    <w:basedOn w:val="Normal"/>
    <w:link w:val="SDMHead1Char"/>
    <w:rsid w:val="00CB4B39"/>
    <w:pPr>
      <w:keepNext/>
      <w:keepLines/>
      <w:numPr>
        <w:numId w:val="20"/>
      </w:numPr>
      <w:suppressAutoHyphens/>
      <w:spacing w:before="240" w:after="60"/>
      <w:outlineLvl w:val="0"/>
    </w:pPr>
    <w:rPr>
      <w:rFonts w:cs="Arial"/>
      <w:b/>
      <w:sz w:val="32"/>
      <w:szCs w:val="32"/>
    </w:rPr>
  </w:style>
  <w:style w:type="paragraph" w:customStyle="1" w:styleId="SDMHead2">
    <w:name w:val="SDMHead2"/>
    <w:basedOn w:val="Normal"/>
    <w:rsid w:val="00CB4B39"/>
    <w:pPr>
      <w:keepNext/>
      <w:keepLines/>
      <w:suppressAutoHyphens/>
      <w:spacing w:before="240" w:after="60"/>
      <w:outlineLvl w:val="1"/>
    </w:pPr>
    <w:rPr>
      <w:rFonts w:cs="Arial"/>
      <w:b/>
      <w:sz w:val="24"/>
      <w:szCs w:val="24"/>
    </w:rPr>
  </w:style>
  <w:style w:type="paragraph" w:customStyle="1" w:styleId="SDMHead3">
    <w:name w:val="SDMHead3"/>
    <w:basedOn w:val="Normal"/>
    <w:rsid w:val="00CB4B39"/>
    <w:pPr>
      <w:keepNext/>
      <w:keepLines/>
      <w:numPr>
        <w:ilvl w:val="2"/>
        <w:numId w:val="20"/>
      </w:numPr>
      <w:suppressAutoHyphens/>
      <w:spacing w:before="240" w:after="60"/>
      <w:outlineLvl w:val="2"/>
    </w:pPr>
    <w:rPr>
      <w:rFonts w:cs="Arial"/>
      <w:b/>
      <w:szCs w:val="24"/>
    </w:rPr>
  </w:style>
  <w:style w:type="paragraph" w:customStyle="1" w:styleId="SDMHead4">
    <w:name w:val="SDMHead4"/>
    <w:basedOn w:val="Normal"/>
    <w:rsid w:val="00CB4B39"/>
    <w:pPr>
      <w:keepNext/>
      <w:keepLines/>
      <w:numPr>
        <w:ilvl w:val="3"/>
        <w:numId w:val="20"/>
      </w:numPr>
      <w:suppressAutoHyphens/>
      <w:spacing w:before="240" w:after="60"/>
      <w:outlineLvl w:val="3"/>
    </w:pPr>
    <w:rPr>
      <w:rFonts w:cs="Arial"/>
      <w:b/>
      <w:szCs w:val="24"/>
    </w:rPr>
  </w:style>
  <w:style w:type="paragraph" w:customStyle="1" w:styleId="SDMHead5">
    <w:name w:val="SDMHead5"/>
    <w:basedOn w:val="Normal"/>
    <w:rsid w:val="00CB4B39"/>
    <w:pPr>
      <w:keepNext/>
      <w:keepLines/>
      <w:numPr>
        <w:ilvl w:val="4"/>
        <w:numId w:val="20"/>
      </w:numPr>
      <w:suppressAutoHyphens/>
      <w:spacing w:before="240" w:after="60"/>
      <w:outlineLvl w:val="4"/>
    </w:pPr>
    <w:rPr>
      <w:rFonts w:cs="Arial"/>
      <w:b/>
      <w:szCs w:val="24"/>
    </w:rPr>
  </w:style>
  <w:style w:type="character" w:customStyle="1" w:styleId="SDMHead1Char">
    <w:name w:val="SDMHead1 Char"/>
    <w:link w:val="SDMHead1"/>
    <w:rsid w:val="00CB4B39"/>
    <w:rPr>
      <w:rFonts w:ascii="Arial" w:eastAsia="Times New Roman" w:hAnsi="Arial" w:cs="Arial"/>
      <w:b/>
      <w:sz w:val="32"/>
      <w:szCs w:val="32"/>
      <w:lang w:val="en-GB" w:eastAsia="de-DE"/>
    </w:rPr>
  </w:style>
  <w:style w:type="paragraph" w:customStyle="1" w:styleId="SDMPara">
    <w:name w:val="SDMPara"/>
    <w:basedOn w:val="Normal"/>
    <w:rsid w:val="00CB4B39"/>
    <w:pPr>
      <w:numPr>
        <w:numId w:val="33"/>
      </w:numPr>
      <w:spacing w:before="180"/>
    </w:pPr>
    <w:rPr>
      <w:rFonts w:cs="Arial"/>
      <w:szCs w:val="22"/>
    </w:rPr>
  </w:style>
  <w:style w:type="paragraph" w:customStyle="1" w:styleId="SDMSubPara1">
    <w:name w:val="SDMSubPara1"/>
    <w:basedOn w:val="Normal"/>
    <w:rsid w:val="00CB4B39"/>
    <w:pPr>
      <w:numPr>
        <w:ilvl w:val="1"/>
        <w:numId w:val="33"/>
      </w:numPr>
      <w:spacing w:before="180"/>
    </w:pPr>
    <w:rPr>
      <w:rFonts w:cs="Arial"/>
      <w:szCs w:val="22"/>
    </w:rPr>
  </w:style>
  <w:style w:type="paragraph" w:customStyle="1" w:styleId="SDMSubPara2">
    <w:name w:val="SDMSubPara2"/>
    <w:basedOn w:val="Normal"/>
    <w:rsid w:val="00CB4B39"/>
    <w:pPr>
      <w:numPr>
        <w:ilvl w:val="2"/>
        <w:numId w:val="33"/>
      </w:numPr>
      <w:spacing w:before="180"/>
    </w:pPr>
    <w:rPr>
      <w:rFonts w:cs="Arial"/>
      <w:szCs w:val="22"/>
    </w:rPr>
  </w:style>
  <w:style w:type="character" w:customStyle="1" w:styleId="FootnoteTextChar">
    <w:name w:val="Footnote Text Char"/>
    <w:aliases w:val="ft Char,DNV-FT Char,single space Char,footnote text Char,fn Char,FOOTNOTES Char,ALTS FOOTNOTE Char,Footnote Text Char2 Char Char,Footnote Text Char1 Char Char Char,Footnote Text Char2 Char Char Char Char"/>
    <w:link w:val="FootnoteText"/>
    <w:uiPriority w:val="99"/>
    <w:rsid w:val="00CB4B39"/>
    <w:rPr>
      <w:rFonts w:ascii="Arial" w:eastAsia="Times New Roman" w:hAnsi="Arial"/>
      <w:lang w:val="en-GB" w:eastAsia="de-DE"/>
    </w:rPr>
  </w:style>
  <w:style w:type="table" w:customStyle="1" w:styleId="SDMTable">
    <w:name w:val="SDMTable"/>
    <w:basedOn w:val="TableNormal"/>
    <w:rsid w:val="00CB4B39"/>
    <w:rPr>
      <w:rFonts w:ascii="Arial" w:eastAsia="Times New Roman" w:hAnsi="Arial"/>
      <w:lang w:val="en-GB" w:eastAsia="en-GB"/>
    </w:rPr>
    <w:tblPr>
      <w:tblStyleRowBandSize w:val="1"/>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blStylePr w:type="firstRow">
      <w:pPr>
        <w:keepNext/>
        <w:keepLines/>
        <w:wordWrap/>
        <w:jc w:val="center"/>
      </w:pPr>
      <w:rPr>
        <w:b/>
      </w:rPr>
      <w:tblPr/>
      <w:trPr>
        <w:tblHeader/>
      </w:trPr>
      <w:tcPr>
        <w:tcBorders>
          <w:top w:val="single" w:sz="4" w:space="0" w:color="auto"/>
          <w:left w:val="single" w:sz="4" w:space="0" w:color="auto"/>
          <w:bottom w:val="single" w:sz="12" w:space="0" w:color="auto"/>
          <w:right w:val="single" w:sz="4" w:space="0" w:color="auto"/>
          <w:insideH w:val="nil"/>
          <w:insideV w:val="nil"/>
          <w:tl2br w:val="nil"/>
          <w:tr2bl w:val="nil"/>
        </w:tcBorders>
        <w:tcMar>
          <w:top w:w="57" w:type="dxa"/>
          <w:left w:w="0" w:type="nil"/>
          <w:bottom w:w="57" w:type="dxa"/>
          <w:right w:w="0" w:type="nil"/>
        </w:tcMar>
        <w:vAlign w:val="center"/>
      </w:tcPr>
    </w:tblStylePr>
    <w:tblStylePr w:type="lastRow">
      <w:pPr>
        <w:keepNext w:val="0"/>
        <w:wordWrap/>
      </w:pPr>
    </w:tblStylePr>
    <w:tblStylePr w:type="firstCol">
      <w:rPr>
        <w:b/>
      </w:rPr>
    </w:tblStylePr>
  </w:style>
  <w:style w:type="paragraph" w:customStyle="1" w:styleId="SDMFooter">
    <w:name w:val="SDMFooter"/>
    <w:basedOn w:val="Footer"/>
    <w:rsid w:val="00CB4B39"/>
    <w:pPr>
      <w:jc w:val="center"/>
    </w:pPr>
    <w:rPr>
      <w:rFonts w:cs="Arial"/>
      <w:sz w:val="20"/>
    </w:rPr>
  </w:style>
  <w:style w:type="table" w:customStyle="1" w:styleId="SDMTableDocInfo">
    <w:name w:val="SDMTableDocInfo"/>
    <w:basedOn w:val="TableNormal"/>
    <w:rsid w:val="00CB4B39"/>
    <w:pPr>
      <w:keepNext/>
      <w:spacing w:before="80" w:after="80"/>
    </w:pPr>
    <w:rPr>
      <w:rFonts w:ascii="Arial" w:eastAsia="Times New Roman" w:hAnsi="Arial"/>
      <w:lang w:val="en-GB" w:eastAsia="en-GB"/>
    </w:rPr>
    <w:tblPr/>
    <w:tblStylePr w:type="firstRow">
      <w:rPr>
        <w:rFonts w:ascii="Arial" w:hAnsi="Arial"/>
        <w:i/>
        <w:sz w:val="16"/>
      </w:rPr>
      <w:tblPr/>
      <w:trPr>
        <w:cantSplit w:val="0"/>
        <w:tblHeader/>
      </w:trPr>
      <w:tcPr>
        <w:tcBorders>
          <w:top w:val="single" w:sz="4" w:space="0" w:color="auto"/>
          <w:left w:val="nil"/>
          <w:bottom w:val="single" w:sz="12" w:space="0" w:color="auto"/>
          <w:right w:val="nil"/>
          <w:insideV w:val="nil"/>
        </w:tcBorders>
        <w:tcMar>
          <w:top w:w="80" w:type="dxa"/>
          <w:left w:w="0" w:type="nil"/>
          <w:bottom w:w="80" w:type="dxa"/>
          <w:right w:w="0" w:type="nil"/>
        </w:tcMar>
        <w:vAlign w:val="center"/>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vAlign w:val="center"/>
      </w:tcPr>
    </w:tblStylePr>
  </w:style>
  <w:style w:type="paragraph" w:customStyle="1" w:styleId="SDMDocInfoText">
    <w:name w:val="SDMDocInfoText"/>
    <w:basedOn w:val="Normal"/>
    <w:link w:val="SDMDocInfoTextChar"/>
    <w:rsid w:val="00CB4B39"/>
    <w:pPr>
      <w:keepLines/>
      <w:numPr>
        <w:numId w:val="23"/>
      </w:numPr>
      <w:spacing w:before="80" w:after="80"/>
    </w:pPr>
    <w:rPr>
      <w:rFonts w:cs="Arial"/>
      <w:sz w:val="20"/>
    </w:rPr>
  </w:style>
  <w:style w:type="character" w:customStyle="1" w:styleId="SDMDocInfoTextChar">
    <w:name w:val="SDMDocInfoText Char"/>
    <w:link w:val="SDMDocInfoText"/>
    <w:rsid w:val="00CB4B39"/>
    <w:rPr>
      <w:rFonts w:ascii="Arial" w:eastAsia="Times New Roman" w:hAnsi="Arial" w:cs="Arial"/>
      <w:lang w:val="en-GB" w:eastAsia="de-DE"/>
    </w:rPr>
  </w:style>
  <w:style w:type="paragraph" w:customStyle="1" w:styleId="SDMDocInfoTitle">
    <w:name w:val="SDMDocInfoTitle"/>
    <w:basedOn w:val="Normal"/>
    <w:rsid w:val="00CB4B39"/>
    <w:pPr>
      <w:keepNext/>
      <w:keepLines/>
      <w:spacing w:before="480" w:after="240"/>
      <w:jc w:val="center"/>
    </w:pPr>
    <w:rPr>
      <w:rFonts w:cs="Arial"/>
      <w:b/>
      <w:szCs w:val="22"/>
    </w:rPr>
  </w:style>
  <w:style w:type="paragraph" w:customStyle="1" w:styleId="SDMSubPara3">
    <w:name w:val="SDMSubPara3"/>
    <w:basedOn w:val="Normal"/>
    <w:rsid w:val="00CB4B39"/>
    <w:pPr>
      <w:numPr>
        <w:ilvl w:val="3"/>
        <w:numId w:val="33"/>
      </w:numPr>
      <w:spacing w:before="180"/>
      <w:ind w:left="2721" w:hanging="595"/>
    </w:pPr>
  </w:style>
  <w:style w:type="paragraph" w:customStyle="1" w:styleId="SDMSubPara4">
    <w:name w:val="SDMSubPara4"/>
    <w:basedOn w:val="Normal"/>
    <w:rsid w:val="00CB4B39"/>
    <w:pPr>
      <w:numPr>
        <w:ilvl w:val="4"/>
        <w:numId w:val="33"/>
      </w:numPr>
      <w:spacing w:before="180"/>
    </w:pPr>
  </w:style>
  <w:style w:type="character" w:customStyle="1" w:styleId="TOC1Char">
    <w:name w:val="TOC 1 Char"/>
    <w:link w:val="TOC1"/>
    <w:uiPriority w:val="39"/>
    <w:rsid w:val="00CB4B39"/>
    <w:rPr>
      <w:rFonts w:ascii="Arial" w:eastAsia="Times New Roman" w:hAnsi="Arial" w:cs="Arial"/>
      <w:b/>
      <w:caps/>
      <w:sz w:val="21"/>
      <w:szCs w:val="21"/>
      <w:lang w:val="en-GB" w:eastAsia="de-DE"/>
    </w:rPr>
  </w:style>
  <w:style w:type="character" w:customStyle="1" w:styleId="TOC2Char">
    <w:name w:val="TOC 2 Char"/>
    <w:link w:val="TOC2"/>
    <w:uiPriority w:val="39"/>
    <w:rsid w:val="00CB4B39"/>
    <w:rPr>
      <w:rFonts w:ascii="Arial" w:eastAsia="Times New Roman" w:hAnsi="Arial" w:cs="Arial"/>
      <w:sz w:val="21"/>
      <w:szCs w:val="21"/>
      <w:lang w:val="en-GB" w:eastAsia="de-DE"/>
    </w:rPr>
  </w:style>
  <w:style w:type="character" w:customStyle="1" w:styleId="TOC3Char">
    <w:name w:val="TOC 3 Char"/>
    <w:link w:val="TOC3"/>
    <w:uiPriority w:val="39"/>
    <w:rsid w:val="00CB4B39"/>
    <w:rPr>
      <w:rFonts w:ascii="Arial" w:eastAsia="Times New Roman" w:hAnsi="Arial" w:cs="Arial"/>
      <w:sz w:val="21"/>
      <w:szCs w:val="21"/>
      <w:lang w:val="en-GB" w:eastAsia="de-DE"/>
    </w:rPr>
  </w:style>
  <w:style w:type="paragraph" w:customStyle="1" w:styleId="SDMHeader">
    <w:name w:val="SDMHeader"/>
    <w:basedOn w:val="Header"/>
    <w:rsid w:val="00CB4B39"/>
    <w:pPr>
      <w:pBdr>
        <w:bottom w:val="single" w:sz="4" w:space="10" w:color="auto"/>
      </w:pBdr>
      <w:tabs>
        <w:tab w:val="clear" w:pos="4320"/>
        <w:tab w:val="clear" w:pos="8640"/>
        <w:tab w:val="right" w:pos="9356"/>
        <w:tab w:val="right" w:pos="14288"/>
      </w:tabs>
    </w:pPr>
    <w:rPr>
      <w:rFonts w:cs="Arial"/>
      <w:sz w:val="20"/>
      <w:szCs w:val="16"/>
    </w:rPr>
  </w:style>
  <w:style w:type="paragraph" w:customStyle="1" w:styleId="SDMDocInfoHeadRow">
    <w:name w:val="SDMDocInfoHeadRow"/>
    <w:basedOn w:val="Normal"/>
    <w:rsid w:val="00CB4B39"/>
    <w:pPr>
      <w:keepNext/>
      <w:keepLines/>
    </w:pPr>
    <w:rPr>
      <w:rFonts w:cs="Arial"/>
      <w:i/>
      <w:sz w:val="16"/>
      <w:szCs w:val="16"/>
    </w:rPr>
  </w:style>
  <w:style w:type="table" w:customStyle="1" w:styleId="SDMBox">
    <w:name w:val="SDMBox"/>
    <w:basedOn w:val="TableNormal"/>
    <w:rsid w:val="00CB4B39"/>
    <w:rPr>
      <w:rFonts w:ascii="Arial" w:eastAsia="Times New Roman" w:hAnsi="Arial"/>
      <w:lang w:val="en-GB" w:eastAsia="en-GB"/>
    </w:rPr>
    <w:tblPr>
      <w:tblInd w:w="822" w:type="dxa"/>
      <w:tblBorders>
        <w:top w:val="single" w:sz="4" w:space="0" w:color="auto"/>
        <w:left w:val="single" w:sz="4" w:space="0" w:color="auto"/>
        <w:bottom w:val="single" w:sz="4" w:space="0" w:color="auto"/>
        <w:right w:val="single" w:sz="4" w:space="0" w:color="auto"/>
      </w:tblBorders>
      <w:tblCellMar>
        <w:top w:w="28" w:type="dxa"/>
        <w:bottom w:w="28" w:type="dxa"/>
      </w:tblCellMar>
    </w:tblPr>
    <w:trPr>
      <w:cantSplit/>
    </w:trPr>
    <w:tcPr>
      <w:shd w:val="clear" w:color="auto" w:fill="E6E6E6"/>
    </w:tcPr>
    <w:tblStylePr w:type="firstRow">
      <w:pPr>
        <w:keepNext/>
        <w:keepLines/>
        <w:wordWrap/>
      </w:pPr>
      <w:rPr>
        <w:b/>
      </w:rPr>
      <w:tblPr/>
      <w:tcPr>
        <w:tcMar>
          <w:top w:w="57" w:type="dxa"/>
          <w:left w:w="0" w:type="nil"/>
          <w:bottom w:w="57" w:type="dxa"/>
          <w:right w:w="0" w:type="nil"/>
        </w:tcMar>
      </w:tcPr>
    </w:tblStylePr>
    <w:tblStylePr w:type="lastRow">
      <w:pPr>
        <w:keepNext w:val="0"/>
        <w:wordWrap/>
      </w:pPr>
    </w:tblStylePr>
  </w:style>
  <w:style w:type="numbering" w:customStyle="1" w:styleId="SDMParaList">
    <w:name w:val="SDMParaList"/>
    <w:rsid w:val="00CB4B39"/>
    <w:pPr>
      <w:numPr>
        <w:numId w:val="13"/>
      </w:numPr>
    </w:pPr>
  </w:style>
  <w:style w:type="numbering" w:customStyle="1" w:styleId="SDMHeadList">
    <w:name w:val="SDMHeadList"/>
    <w:uiPriority w:val="99"/>
    <w:rsid w:val="00CB4B39"/>
    <w:pPr>
      <w:numPr>
        <w:numId w:val="16"/>
      </w:numPr>
    </w:pPr>
  </w:style>
  <w:style w:type="numbering" w:customStyle="1" w:styleId="SDMTableBoxParaNumberedList">
    <w:name w:val="SDMTable&amp;BoxParaNumberedList"/>
    <w:rsid w:val="00CB4B39"/>
    <w:pPr>
      <w:numPr>
        <w:numId w:val="14"/>
      </w:numPr>
    </w:pPr>
  </w:style>
  <w:style w:type="paragraph" w:customStyle="1" w:styleId="SDMAppTitle">
    <w:name w:val="SDMAppTitle"/>
    <w:basedOn w:val="SDMHead1"/>
    <w:next w:val="SDMApp1"/>
    <w:qFormat/>
    <w:rsid w:val="00CB4B39"/>
    <w:pPr>
      <w:pageBreakBefore/>
      <w:numPr>
        <w:numId w:val="21"/>
      </w:numPr>
      <w:spacing w:before="120" w:after="600"/>
    </w:pPr>
  </w:style>
  <w:style w:type="paragraph" w:customStyle="1" w:styleId="SDMApp1">
    <w:name w:val="SDMApp1"/>
    <w:basedOn w:val="SDMHead2"/>
    <w:qFormat/>
    <w:rsid w:val="00CB4B39"/>
    <w:pPr>
      <w:ind w:left="2126" w:hanging="2126"/>
      <w:outlineLvl w:val="9"/>
    </w:pPr>
  </w:style>
  <w:style w:type="paragraph" w:customStyle="1" w:styleId="SDMApp2">
    <w:name w:val="SDMApp2"/>
    <w:basedOn w:val="SDMHead3"/>
    <w:qFormat/>
    <w:rsid w:val="00CB4B39"/>
    <w:pPr>
      <w:numPr>
        <w:numId w:val="21"/>
      </w:numPr>
      <w:outlineLvl w:val="9"/>
    </w:pPr>
  </w:style>
  <w:style w:type="paragraph" w:customStyle="1" w:styleId="SDMApp3">
    <w:name w:val="SDMApp3"/>
    <w:basedOn w:val="SDMHead4"/>
    <w:qFormat/>
    <w:rsid w:val="00CB4B39"/>
    <w:pPr>
      <w:numPr>
        <w:numId w:val="21"/>
      </w:numPr>
      <w:outlineLvl w:val="9"/>
    </w:pPr>
  </w:style>
  <w:style w:type="paragraph" w:customStyle="1" w:styleId="SDMApp4">
    <w:name w:val="SDMApp4"/>
    <w:basedOn w:val="SDMHead5"/>
    <w:qFormat/>
    <w:rsid w:val="00CB4B39"/>
    <w:pPr>
      <w:numPr>
        <w:numId w:val="21"/>
      </w:numPr>
      <w:outlineLvl w:val="9"/>
    </w:pPr>
  </w:style>
  <w:style w:type="numbering" w:customStyle="1" w:styleId="SDMAppHeadList">
    <w:name w:val="SDMAppHeadList"/>
    <w:uiPriority w:val="99"/>
    <w:rsid w:val="00CB4B39"/>
    <w:pPr>
      <w:numPr>
        <w:numId w:val="15"/>
      </w:numPr>
    </w:pPr>
  </w:style>
  <w:style w:type="paragraph" w:customStyle="1" w:styleId="SDMDocRef">
    <w:name w:val="SDMDocRef"/>
    <w:basedOn w:val="Normal"/>
    <w:qFormat/>
    <w:rsid w:val="00CB4B39"/>
    <w:pPr>
      <w:spacing w:before="100"/>
    </w:pPr>
    <w:rPr>
      <w:b/>
      <w:caps/>
      <w:sz w:val="28"/>
    </w:rPr>
  </w:style>
  <w:style w:type="paragraph" w:customStyle="1" w:styleId="SDMApp5">
    <w:name w:val="SDMApp5"/>
    <w:basedOn w:val="SDMApp4"/>
    <w:qFormat/>
    <w:rsid w:val="00CB4B39"/>
    <w:pPr>
      <w:numPr>
        <w:ilvl w:val="5"/>
      </w:numPr>
      <w:tabs>
        <w:tab w:val="left" w:pos="1418"/>
      </w:tabs>
      <w:ind w:left="1418" w:hanging="1418"/>
    </w:pPr>
  </w:style>
  <w:style w:type="paragraph" w:customStyle="1" w:styleId="SDMTableBoxFigureFootnote">
    <w:name w:val="SDMTableBoxFigureFootnote"/>
    <w:basedOn w:val="Normal"/>
    <w:qFormat/>
    <w:rsid w:val="00CB4B39"/>
    <w:pPr>
      <w:numPr>
        <w:numId w:val="25"/>
      </w:numPr>
      <w:spacing w:before="120"/>
    </w:pPr>
    <w:rPr>
      <w:sz w:val="20"/>
    </w:rPr>
  </w:style>
  <w:style w:type="paragraph" w:customStyle="1" w:styleId="SDMCovNoteTitle">
    <w:name w:val="SDMCovNoteTitle"/>
    <w:basedOn w:val="Normal"/>
    <w:qFormat/>
    <w:rsid w:val="00CB4B39"/>
    <w:pPr>
      <w:keepNext/>
      <w:keepLines/>
      <w:suppressAutoHyphens/>
      <w:spacing w:before="240" w:after="840"/>
      <w:jc w:val="center"/>
    </w:pPr>
    <w:rPr>
      <w:b/>
      <w:caps/>
      <w:sz w:val="32"/>
    </w:rPr>
  </w:style>
  <w:style w:type="numbering" w:customStyle="1" w:styleId="SDMCovNoteHeadList">
    <w:name w:val="SDMCovNoteHeadList"/>
    <w:uiPriority w:val="99"/>
    <w:rsid w:val="00CB4B39"/>
    <w:pPr>
      <w:numPr>
        <w:numId w:val="17"/>
      </w:numPr>
    </w:pPr>
  </w:style>
  <w:style w:type="paragraph" w:customStyle="1" w:styleId="SDMCovNoteHead1">
    <w:name w:val="SDMCovNoteHead1"/>
    <w:basedOn w:val="Normal"/>
    <w:rsid w:val="00CB4B39"/>
    <w:pPr>
      <w:keepNext/>
      <w:keepLines/>
      <w:numPr>
        <w:numId w:val="31"/>
      </w:numPr>
      <w:suppressAutoHyphens/>
      <w:spacing w:before="240" w:after="60"/>
    </w:pPr>
    <w:rPr>
      <w:b/>
      <w:sz w:val="24"/>
    </w:rPr>
  </w:style>
  <w:style w:type="paragraph" w:customStyle="1" w:styleId="SDMCovNoteHead2">
    <w:name w:val="SDMCovNoteHead2"/>
    <w:basedOn w:val="Normal"/>
    <w:rsid w:val="00CB4B39"/>
    <w:pPr>
      <w:keepNext/>
      <w:keepLines/>
      <w:numPr>
        <w:ilvl w:val="1"/>
        <w:numId w:val="31"/>
      </w:numPr>
      <w:spacing w:before="240" w:after="60"/>
    </w:pPr>
    <w:rPr>
      <w:b/>
    </w:rPr>
  </w:style>
  <w:style w:type="paragraph" w:customStyle="1" w:styleId="SDMCovNoteHead3">
    <w:name w:val="SDMCovNoteHead3"/>
    <w:basedOn w:val="Normal"/>
    <w:rsid w:val="00CB4B39"/>
    <w:pPr>
      <w:keepNext/>
      <w:keepLines/>
      <w:numPr>
        <w:ilvl w:val="2"/>
        <w:numId w:val="31"/>
      </w:numPr>
      <w:spacing w:before="240" w:after="60"/>
    </w:pPr>
    <w:rPr>
      <w:b/>
    </w:rPr>
  </w:style>
  <w:style w:type="paragraph" w:styleId="NoSpacing">
    <w:name w:val="No Spacing"/>
    <w:link w:val="NoSpacingChar"/>
    <w:uiPriority w:val="1"/>
    <w:qFormat/>
    <w:rsid w:val="00CB4B39"/>
    <w:rPr>
      <w:rFonts w:ascii="Calibri" w:hAnsi="Calibri" w:cs="Arial"/>
      <w:sz w:val="22"/>
      <w:szCs w:val="22"/>
      <w:lang w:val="en-US" w:eastAsia="ja-JP"/>
    </w:rPr>
  </w:style>
  <w:style w:type="character" w:customStyle="1" w:styleId="NoSpacingChar">
    <w:name w:val="No Spacing Char"/>
    <w:link w:val="NoSpacing"/>
    <w:uiPriority w:val="1"/>
    <w:rsid w:val="00CB4B39"/>
    <w:rPr>
      <w:rFonts w:ascii="Calibri" w:hAnsi="Calibri" w:cs="Arial"/>
      <w:sz w:val="22"/>
      <w:szCs w:val="22"/>
      <w:lang w:eastAsia="ja-JP"/>
    </w:rPr>
  </w:style>
  <w:style w:type="paragraph" w:customStyle="1" w:styleId="SDMTOCHeading">
    <w:name w:val="SDMTOCHeading"/>
    <w:basedOn w:val="Normal"/>
    <w:qFormat/>
    <w:rsid w:val="00CB4B39"/>
    <w:pPr>
      <w:keepNext/>
      <w:keepLines/>
      <w:pageBreakBefore/>
      <w:tabs>
        <w:tab w:val="right" w:pos="9356"/>
      </w:tabs>
      <w:spacing w:before="240" w:after="600"/>
    </w:pPr>
    <w:rPr>
      <w:rFonts w:cs="Arial"/>
      <w:b/>
      <w:szCs w:val="22"/>
    </w:rPr>
  </w:style>
  <w:style w:type="numbering" w:customStyle="1" w:styleId="SDMTableBoxFigureFootnoteList">
    <w:name w:val="SDMTableBoxFigureFootnoteList"/>
    <w:uiPriority w:val="99"/>
    <w:rsid w:val="00CB4B39"/>
    <w:pPr>
      <w:numPr>
        <w:numId w:val="18"/>
      </w:numPr>
    </w:pPr>
  </w:style>
  <w:style w:type="paragraph" w:customStyle="1" w:styleId="SDMTableBoxFigureFootnoteSL1">
    <w:name w:val="SDMTableBoxFigureFootnoteSL1"/>
    <w:basedOn w:val="SDMTableBoxFigureFootnote"/>
    <w:qFormat/>
    <w:rsid w:val="00CB4B39"/>
    <w:pPr>
      <w:numPr>
        <w:ilvl w:val="1"/>
      </w:numPr>
      <w:spacing w:before="40"/>
    </w:pPr>
  </w:style>
  <w:style w:type="paragraph" w:customStyle="1" w:styleId="SDMTableBoxFigureFootnoteSL2">
    <w:name w:val="SDMTableBoxFigureFootnoteSL2"/>
    <w:basedOn w:val="SDMTableBoxFigureFootnote"/>
    <w:qFormat/>
    <w:rsid w:val="00CB4B39"/>
    <w:pPr>
      <w:numPr>
        <w:ilvl w:val="2"/>
      </w:numPr>
      <w:spacing w:before="40"/>
    </w:pPr>
  </w:style>
  <w:style w:type="paragraph" w:customStyle="1" w:styleId="SDMTableBoxFigureFootnoteSL3">
    <w:name w:val="SDMTableBoxFigureFootnoteSL3"/>
    <w:basedOn w:val="SDMTableBoxFigureFootnote"/>
    <w:qFormat/>
    <w:rsid w:val="00CB4B39"/>
    <w:pPr>
      <w:numPr>
        <w:ilvl w:val="3"/>
      </w:numPr>
      <w:spacing w:before="40"/>
    </w:pPr>
  </w:style>
  <w:style w:type="paragraph" w:customStyle="1" w:styleId="SDMTableBoxFigureFootnoteSL4">
    <w:name w:val="SDMTableBoxFigureFootnoteSL4"/>
    <w:basedOn w:val="SDMTableBoxFigureFootnote"/>
    <w:qFormat/>
    <w:rsid w:val="00CB4B39"/>
    <w:pPr>
      <w:numPr>
        <w:ilvl w:val="4"/>
      </w:numPr>
      <w:spacing w:before="40"/>
    </w:pPr>
  </w:style>
  <w:style w:type="paragraph" w:customStyle="1" w:styleId="SDMTableBoxFigureFootnoteSL5">
    <w:name w:val="SDMTableBoxFigureFootnoteSL5"/>
    <w:basedOn w:val="SDMTableBoxFigureFootnote"/>
    <w:qFormat/>
    <w:rsid w:val="00CB4B39"/>
    <w:pPr>
      <w:numPr>
        <w:ilvl w:val="5"/>
      </w:numPr>
      <w:spacing w:before="40"/>
    </w:pPr>
  </w:style>
  <w:style w:type="character" w:styleId="PlaceholderText">
    <w:name w:val="Placeholder Text"/>
    <w:uiPriority w:val="99"/>
    <w:semiHidden/>
    <w:rsid w:val="00CB4B39"/>
    <w:rPr>
      <w:color w:val="808080"/>
    </w:rPr>
  </w:style>
  <w:style w:type="character" w:customStyle="1" w:styleId="BalloonTextChar">
    <w:name w:val="Balloon Text Char"/>
    <w:link w:val="BalloonText"/>
    <w:rsid w:val="00CB4B39"/>
    <w:rPr>
      <w:rFonts w:ascii="Tahoma" w:eastAsia="Times New Roman" w:hAnsi="Tahoma" w:cs="Tahoma"/>
      <w:sz w:val="16"/>
      <w:szCs w:val="16"/>
      <w:lang w:val="en-GB" w:eastAsia="de-DE"/>
    </w:rPr>
  </w:style>
  <w:style w:type="paragraph" w:styleId="Date">
    <w:name w:val="Date"/>
    <w:basedOn w:val="Normal"/>
    <w:next w:val="Normal"/>
    <w:link w:val="DateChar"/>
    <w:rsid w:val="00CB4B39"/>
  </w:style>
  <w:style w:type="character" w:customStyle="1" w:styleId="DateChar">
    <w:name w:val="Date Char"/>
    <w:link w:val="Date"/>
    <w:rsid w:val="00CB4B39"/>
    <w:rPr>
      <w:rFonts w:ascii="Arial" w:eastAsia="Times New Roman" w:hAnsi="Arial"/>
      <w:sz w:val="22"/>
      <w:lang w:val="en-GB" w:eastAsia="de-DE"/>
    </w:rPr>
  </w:style>
  <w:style w:type="paragraph" w:customStyle="1" w:styleId="SDMConfidentialMark">
    <w:name w:val="SDMConfidentialMark"/>
    <w:basedOn w:val="Normal"/>
    <w:qFormat/>
    <w:rsid w:val="00CB4B39"/>
    <w:pPr>
      <w:spacing w:before="1200"/>
      <w:jc w:val="right"/>
    </w:pPr>
    <w:rPr>
      <w:b/>
      <w:caps/>
      <w:spacing w:val="10"/>
      <w:sz w:val="32"/>
    </w:rPr>
  </w:style>
  <w:style w:type="character" w:customStyle="1" w:styleId="Heading1Char">
    <w:name w:val="Heading 1 Char"/>
    <w:link w:val="Heading1"/>
    <w:rsid w:val="00CB4B39"/>
    <w:rPr>
      <w:rFonts w:ascii="Cambria" w:eastAsia="MS Gothic" w:hAnsi="Cambria"/>
      <w:b/>
      <w:bCs/>
      <w:color w:val="365F91"/>
      <w:sz w:val="28"/>
      <w:szCs w:val="28"/>
    </w:rPr>
  </w:style>
  <w:style w:type="character" w:customStyle="1" w:styleId="Heading2Char">
    <w:name w:val="Heading 2 Char"/>
    <w:link w:val="Heading2"/>
    <w:rsid w:val="00CB4B39"/>
    <w:rPr>
      <w:rFonts w:ascii="Cambria" w:eastAsia="MS Gothic" w:hAnsi="Cambria"/>
      <w:b/>
      <w:bCs/>
      <w:color w:val="4F81BD"/>
      <w:sz w:val="26"/>
      <w:szCs w:val="26"/>
    </w:rPr>
  </w:style>
  <w:style w:type="character" w:customStyle="1" w:styleId="Heading3Char">
    <w:name w:val="Heading 3 Char"/>
    <w:link w:val="Heading3"/>
    <w:rsid w:val="00CB4B39"/>
    <w:rPr>
      <w:rFonts w:ascii="Cambria" w:eastAsia="MS Gothic" w:hAnsi="Cambria"/>
      <w:b/>
      <w:bCs/>
      <w:color w:val="4F81BD"/>
      <w:sz w:val="24"/>
      <w:szCs w:val="24"/>
    </w:rPr>
  </w:style>
  <w:style w:type="character" w:customStyle="1" w:styleId="Heading4Char">
    <w:name w:val="Heading 4 Char"/>
    <w:link w:val="Heading4"/>
    <w:rsid w:val="00CB4B39"/>
    <w:rPr>
      <w:rFonts w:ascii="Cambria" w:eastAsia="MS Gothic" w:hAnsi="Cambria"/>
      <w:b/>
      <w:bCs/>
      <w:i/>
      <w:iCs/>
      <w:color w:val="4F81BD"/>
      <w:sz w:val="24"/>
      <w:szCs w:val="24"/>
    </w:rPr>
  </w:style>
  <w:style w:type="character" w:customStyle="1" w:styleId="Heading5Char">
    <w:name w:val="Heading 5 Char"/>
    <w:link w:val="Heading5"/>
    <w:rsid w:val="00CB4B39"/>
    <w:rPr>
      <w:rFonts w:ascii="Cambria" w:eastAsia="MS Gothic" w:hAnsi="Cambria"/>
      <w:color w:val="243F60"/>
      <w:sz w:val="24"/>
      <w:szCs w:val="24"/>
    </w:rPr>
  </w:style>
  <w:style w:type="character" w:customStyle="1" w:styleId="Heading6Char">
    <w:name w:val="Heading 6 Char"/>
    <w:link w:val="Heading6"/>
    <w:rsid w:val="00CB4B39"/>
    <w:rPr>
      <w:rFonts w:ascii="Cambria" w:eastAsia="MS Gothic" w:hAnsi="Cambria"/>
      <w:i/>
      <w:iCs/>
      <w:color w:val="243F60"/>
      <w:sz w:val="24"/>
      <w:szCs w:val="24"/>
    </w:rPr>
  </w:style>
  <w:style w:type="character" w:customStyle="1" w:styleId="Heading7Char">
    <w:name w:val="Heading 7 Char"/>
    <w:link w:val="Heading7"/>
    <w:rsid w:val="00CB4B39"/>
    <w:rPr>
      <w:rFonts w:ascii="Cambria" w:eastAsia="MS Gothic" w:hAnsi="Cambria"/>
      <w:i/>
      <w:iCs/>
      <w:color w:val="404040"/>
      <w:sz w:val="24"/>
      <w:szCs w:val="24"/>
    </w:rPr>
  </w:style>
  <w:style w:type="character" w:customStyle="1" w:styleId="Heading8Char">
    <w:name w:val="Heading 8 Char"/>
    <w:link w:val="Heading8"/>
    <w:rsid w:val="00CB4B39"/>
    <w:rPr>
      <w:rFonts w:ascii="Cambria" w:eastAsia="MS Gothic" w:hAnsi="Cambria"/>
      <w:color w:val="404040"/>
    </w:rPr>
  </w:style>
  <w:style w:type="character" w:customStyle="1" w:styleId="Heading9Char">
    <w:name w:val="Heading 9 Char"/>
    <w:link w:val="Heading9"/>
    <w:rsid w:val="00CB4B39"/>
    <w:rPr>
      <w:rFonts w:ascii="Cambria" w:eastAsia="MS Gothic" w:hAnsi="Cambria"/>
      <w:i/>
      <w:iCs/>
      <w:color w:val="404040"/>
    </w:rPr>
  </w:style>
  <w:style w:type="table" w:customStyle="1" w:styleId="SDMMethTableEmmissions">
    <w:name w:val="SDMMethTableEmmissions"/>
    <w:basedOn w:val="TableNormal"/>
    <w:uiPriority w:val="99"/>
    <w:rsid w:val="00CB4B39"/>
    <w:rPr>
      <w:rFonts w:ascii="Arial" w:eastAsia="Times New Roman" w:hAnsi="Arial"/>
      <w:lang w:val="en-GB" w:eastAsia="en-GB"/>
    </w:rPr>
    <w:tblPr>
      <w:tblStyleRowBandSize w:val="3"/>
      <w:tblStyleColBandSize w:val="1"/>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cPr>
      <w:vAlign w:val="center"/>
    </w:tcPr>
    <w:tblStylePr w:type="firstRow">
      <w:pPr>
        <w:keepNext/>
        <w:keepLines/>
        <w:wordWrap/>
        <w:jc w:val="center"/>
      </w:pPr>
      <w:rPr>
        <w:rFonts w:ascii="Arial" w:hAnsi="Arial"/>
        <w:b/>
        <w:sz w:val="22"/>
        <w:u w:val="none"/>
      </w:rPr>
      <w:tblPr/>
      <w:trPr>
        <w:tblHeader/>
      </w:tr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shd w:val="clear" w:color="auto" w:fill="E6E6E6"/>
        <w:tcMar>
          <w:top w:w="113" w:type="dxa"/>
          <w:left w:w="0" w:type="nil"/>
          <w:bottom w:w="113" w:type="dxa"/>
          <w:right w:w="0" w:type="nil"/>
        </w:tcMar>
      </w:tcPr>
    </w:tblStylePr>
    <w:tblStylePr w:type="firstCol">
      <w:pPr>
        <w:keepLines/>
        <w:wordWrap/>
        <w:jc w:val="center"/>
      </w:pPr>
      <w:rPr>
        <w:b/>
      </w:rPr>
    </w:tblStylePr>
    <w:tblStylePr w:type="band2Horz">
      <w:tblPr/>
      <w:tcPr>
        <w:shd w:val="clear" w:color="auto" w:fill="E6E6E6"/>
      </w:tcPr>
    </w:tblStylePr>
  </w:style>
  <w:style w:type="table" w:customStyle="1" w:styleId="SDMMethTableDataParameter">
    <w:name w:val="SDMMethTableDataParameter"/>
    <w:basedOn w:val="TableNormal"/>
    <w:uiPriority w:val="99"/>
    <w:rsid w:val="00CB4B39"/>
    <w:rPr>
      <w:rFonts w:ascii="Arial" w:eastAsia="Times New Roman" w:hAnsi="Arial"/>
      <w:lang w:val="en-GB" w:eastAsia="en-GB"/>
    </w:rPr>
    <w:tblP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blStylePr w:type="firstRow">
      <w:pPr>
        <w:keepNext/>
        <w:keepLines/>
        <w:wordWrap/>
      </w:pPr>
      <w:rPr>
        <w:b/>
      </w:rPr>
      <w:tblPr/>
      <w:tcPr>
        <w:tcMar>
          <w:top w:w="62" w:type="dxa"/>
          <w:left w:w="0" w:type="nil"/>
          <w:bottom w:w="62" w:type="dxa"/>
          <w:right w:w="0" w:type="nil"/>
        </w:tcMar>
      </w:tcPr>
    </w:tblStylePr>
    <w:tblStylePr w:type="firstCol">
      <w:tblPr/>
      <w:tcPr>
        <w:shd w:val="clear" w:color="auto" w:fill="E6E6E6"/>
      </w:tcPr>
    </w:tblStylePr>
  </w:style>
  <w:style w:type="paragraph" w:customStyle="1" w:styleId="SDMMethCaptionNestedTableDataParameter">
    <w:name w:val="SDMMethCaptionNestedTableDataParameter"/>
    <w:basedOn w:val="Caption"/>
    <w:qFormat/>
    <w:rsid w:val="00CB4B39"/>
    <w:pPr>
      <w:ind w:left="1531"/>
    </w:pPr>
  </w:style>
  <w:style w:type="table" w:customStyle="1" w:styleId="SDMMethTable">
    <w:name w:val="SDMMethTable"/>
    <w:basedOn w:val="SDMTable"/>
    <w:uiPriority w:val="99"/>
    <w:rsid w:val="00CB4B39"/>
    <w:tblPr/>
    <w:tblStylePr w:type="firstRow">
      <w:pPr>
        <w:keepNext/>
        <w:keepLines/>
        <w:wordWrap/>
        <w:jc w:val="center"/>
      </w:pPr>
      <w:rPr>
        <w:b/>
      </w:rPr>
      <w:tblPr/>
      <w:trPr>
        <w:tblHeader/>
      </w:trPr>
      <w:tcPr>
        <w:tcBorders>
          <w:top w:val="single" w:sz="4" w:space="0" w:color="auto"/>
          <w:left w:val="single" w:sz="4" w:space="0" w:color="auto"/>
          <w:bottom w:val="single" w:sz="12" w:space="0" w:color="auto"/>
          <w:right w:val="single" w:sz="4" w:space="0" w:color="auto"/>
          <w:insideH w:val="nil"/>
          <w:insideV w:val="nil"/>
          <w:tl2br w:val="nil"/>
          <w:tr2bl w:val="nil"/>
        </w:tcBorders>
        <w:shd w:val="clear" w:color="auto" w:fill="E6E6E6"/>
        <w:tcMar>
          <w:top w:w="57" w:type="dxa"/>
          <w:left w:w="0" w:type="nil"/>
          <w:bottom w:w="57" w:type="dxa"/>
          <w:right w:w="0" w:type="nil"/>
        </w:tcMar>
        <w:vAlign w:val="center"/>
      </w:tcPr>
    </w:tblStylePr>
    <w:tblStylePr w:type="lastRow">
      <w:pPr>
        <w:keepNext w:val="0"/>
        <w:wordWrap/>
      </w:pPr>
    </w:tblStylePr>
    <w:tblStylePr w:type="firstCol">
      <w:rPr>
        <w:b/>
      </w:rPr>
    </w:tblStylePr>
  </w:style>
  <w:style w:type="table" w:customStyle="1" w:styleId="SDMMethTableEquationParameters">
    <w:name w:val="SDMMethTableEquationParameters"/>
    <w:basedOn w:val="TableNormal"/>
    <w:uiPriority w:val="99"/>
    <w:rsid w:val="00CB4B39"/>
    <w:rPr>
      <w:rFonts w:ascii="Arial" w:eastAsia="Times New Roman" w:hAnsi="Arial"/>
      <w:sz w:val="22"/>
      <w:lang w:val="en-GB" w:eastAsia="en-GB"/>
    </w:rPr>
    <w:tblPr>
      <w:tblInd w:w="680" w:type="dxa"/>
      <w:tblCellMar>
        <w:top w:w="85" w:type="dxa"/>
        <w:bottom w:w="28" w:type="dxa"/>
      </w:tblCellMar>
    </w:tblPr>
    <w:trPr>
      <w:cantSplit/>
    </w:trPr>
    <w:tcPr>
      <w:vAlign w:val="center"/>
    </w:tcPr>
  </w:style>
  <w:style w:type="paragraph" w:customStyle="1" w:styleId="SDMMethCaptionEquationParametersTable">
    <w:name w:val="SDMMethCaptionEquationParametersTable"/>
    <w:basedOn w:val="Caption"/>
    <w:qFormat/>
    <w:rsid w:val="00CB4B39"/>
    <w:pPr>
      <w:spacing w:before="180" w:after="0"/>
    </w:pPr>
    <w:rPr>
      <w:b w:val="0"/>
      <w:sz w:val="22"/>
    </w:rPr>
  </w:style>
  <w:style w:type="paragraph" w:customStyle="1" w:styleId="SDMMethEquation">
    <w:name w:val="SDMMethEquation"/>
    <w:basedOn w:val="SDMPara"/>
    <w:qFormat/>
    <w:rsid w:val="00CB4B39"/>
    <w:pPr>
      <w:keepLines/>
      <w:numPr>
        <w:numId w:val="0"/>
      </w:numPr>
      <w:spacing w:before="360" w:line="360" w:lineRule="auto"/>
    </w:pPr>
  </w:style>
  <w:style w:type="table" w:customStyle="1" w:styleId="SDMMethTableEquation">
    <w:name w:val="SDMMethTableEquation"/>
    <w:basedOn w:val="TableNormal"/>
    <w:uiPriority w:val="99"/>
    <w:rsid w:val="00CB4B39"/>
    <w:rPr>
      <w:rFonts w:ascii="Arial" w:eastAsia="Times New Roman" w:hAnsi="Arial"/>
      <w:sz w:val="22"/>
      <w:lang w:val="en-GB" w:eastAsia="en-GB"/>
    </w:rPr>
    <w:tblPr>
      <w:tblInd w:w="680" w:type="dxa"/>
    </w:tblPr>
    <w:trPr>
      <w:cantSplit/>
    </w:trPr>
  </w:style>
  <w:style w:type="paragraph" w:customStyle="1" w:styleId="SDMTableBoxParaNotNumbered">
    <w:name w:val="SDMTable&amp;BoxParaNotNumbered"/>
    <w:basedOn w:val="Normal"/>
    <w:qFormat/>
    <w:rsid w:val="00CB4B39"/>
    <w:pPr>
      <w:jc w:val="left"/>
    </w:pPr>
    <w:rPr>
      <w:sz w:val="20"/>
    </w:rPr>
  </w:style>
  <w:style w:type="paragraph" w:customStyle="1" w:styleId="SDMTableBoxParaNumbered">
    <w:name w:val="SDMTable&amp;BoxParaNumbered"/>
    <w:basedOn w:val="Normal"/>
    <w:qFormat/>
    <w:rsid w:val="00CB4B39"/>
    <w:pPr>
      <w:jc w:val="left"/>
    </w:pPr>
    <w:rPr>
      <w:sz w:val="20"/>
    </w:rPr>
  </w:style>
  <w:style w:type="paragraph" w:customStyle="1" w:styleId="SDMMethEquationNr">
    <w:name w:val="SDMMethEquationNr"/>
    <w:basedOn w:val="SDMMethEquation"/>
    <w:qFormat/>
    <w:rsid w:val="00CB4B39"/>
    <w:pPr>
      <w:keepNext/>
      <w:numPr>
        <w:numId w:val="27"/>
      </w:numPr>
      <w:jc w:val="right"/>
    </w:pPr>
    <w:rPr>
      <w:sz w:val="20"/>
    </w:rPr>
  </w:style>
  <w:style w:type="numbering" w:customStyle="1" w:styleId="SDMMethEquationNrList">
    <w:name w:val="SDMMethEquationNrList"/>
    <w:uiPriority w:val="99"/>
    <w:rsid w:val="00CB4B39"/>
    <w:pPr>
      <w:numPr>
        <w:numId w:val="19"/>
      </w:numPr>
    </w:pPr>
  </w:style>
  <w:style w:type="paragraph" w:styleId="ListParagraph">
    <w:name w:val="List Paragraph"/>
    <w:basedOn w:val="Normal"/>
    <w:uiPriority w:val="34"/>
    <w:qFormat/>
    <w:rsid w:val="00CB4B39"/>
    <w:pPr>
      <w:ind w:left="720"/>
      <w:contextualSpacing/>
    </w:pPr>
  </w:style>
  <w:style w:type="table" w:customStyle="1" w:styleId="SDMTableFullPage">
    <w:name w:val="SDMTableFullPage"/>
    <w:basedOn w:val="SDMTable"/>
    <w:uiPriority w:val="99"/>
    <w:rsid w:val="00CB4B39"/>
    <w:tblPr>
      <w:jc w:val="center"/>
      <w:tblInd w:w="0" w:type="dxa"/>
    </w:tblPr>
    <w:trPr>
      <w:jc w:val="center"/>
    </w:trPr>
    <w:tblStylePr w:type="firstRow">
      <w:pPr>
        <w:keepNext/>
        <w:keepLines/>
        <w:wordWrap/>
        <w:jc w:val="center"/>
      </w:pPr>
      <w:rPr>
        <w:b/>
      </w:rPr>
      <w:tblPr/>
      <w:trPr>
        <w:cantSplit w:val="0"/>
        <w:tblHeader/>
      </w:trPr>
      <w:tcPr>
        <w:tcBorders>
          <w:top w:val="single" w:sz="4" w:space="0" w:color="auto"/>
          <w:left w:val="single" w:sz="4" w:space="0" w:color="auto"/>
          <w:bottom w:val="single" w:sz="12" w:space="0" w:color="auto"/>
          <w:right w:val="single" w:sz="4" w:space="0" w:color="auto"/>
          <w:insideH w:val="nil"/>
          <w:insideV w:val="nil"/>
          <w:tl2br w:val="nil"/>
          <w:tr2bl w:val="nil"/>
        </w:tcBorders>
        <w:tcMar>
          <w:top w:w="57" w:type="dxa"/>
          <w:left w:w="0" w:type="nil"/>
          <w:bottom w:w="57" w:type="dxa"/>
          <w:right w:w="0" w:type="nil"/>
        </w:tcMar>
        <w:vAlign w:val="center"/>
      </w:tcPr>
    </w:tblStylePr>
    <w:tblStylePr w:type="lastRow">
      <w:pPr>
        <w:keepNext w:val="0"/>
        <w:wordWrap/>
      </w:pPr>
    </w:tblStylePr>
    <w:tblStylePr w:type="firstCol">
      <w:rPr>
        <w:b/>
      </w:rPr>
    </w:tblStylePr>
  </w:style>
  <w:style w:type="table" w:customStyle="1" w:styleId="SDMMethTableFullPage">
    <w:name w:val="SDMMethTableFullPage"/>
    <w:basedOn w:val="SDMMethTable"/>
    <w:uiPriority w:val="99"/>
    <w:rsid w:val="00CB4B39"/>
    <w:tblPr>
      <w:jc w:val="center"/>
      <w:tblInd w:w="0" w:type="dxa"/>
    </w:tblPr>
    <w:trPr>
      <w:jc w:val="center"/>
    </w:trPr>
    <w:tblStylePr w:type="firstRow">
      <w:pPr>
        <w:keepNext/>
        <w:keepLines/>
        <w:wordWrap/>
        <w:jc w:val="center"/>
      </w:pPr>
      <w:rPr>
        <w:b/>
      </w:rPr>
      <w:tblPr/>
      <w:trPr>
        <w:cantSplit w:val="0"/>
        <w:tblHeader/>
      </w:trPr>
      <w:tcPr>
        <w:tcBorders>
          <w:top w:val="single" w:sz="4" w:space="0" w:color="auto"/>
          <w:left w:val="single" w:sz="4" w:space="0" w:color="auto"/>
          <w:bottom w:val="single" w:sz="12" w:space="0" w:color="auto"/>
          <w:right w:val="single" w:sz="4" w:space="0" w:color="auto"/>
          <w:insideH w:val="nil"/>
          <w:insideV w:val="nil"/>
          <w:tl2br w:val="nil"/>
          <w:tr2bl w:val="nil"/>
        </w:tcBorders>
        <w:shd w:val="clear" w:color="auto" w:fill="E6E6E6"/>
        <w:tcMar>
          <w:top w:w="57" w:type="dxa"/>
          <w:left w:w="0" w:type="nil"/>
          <w:bottom w:w="57" w:type="dxa"/>
          <w:right w:w="0" w:type="nil"/>
        </w:tcMar>
        <w:vAlign w:val="center"/>
      </w:tcPr>
    </w:tblStylePr>
    <w:tblStylePr w:type="lastRow">
      <w:pPr>
        <w:keepNext w:val="0"/>
        <w:wordWrap/>
      </w:pPr>
    </w:tblStylePr>
    <w:tblStylePr w:type="firstCol">
      <w:rPr>
        <w:b/>
      </w:rPr>
    </w:tblStylePr>
  </w:style>
  <w:style w:type="paragraph" w:customStyle="1" w:styleId="CaptionFullPage">
    <w:name w:val="CaptionFullPage"/>
    <w:basedOn w:val="Caption"/>
    <w:qFormat/>
    <w:rsid w:val="00CB4B39"/>
    <w:pPr>
      <w:ind w:left="0" w:firstLine="0"/>
    </w:pPr>
  </w:style>
  <w:style w:type="numbering" w:customStyle="1" w:styleId="SDMFootnoteList">
    <w:name w:val="SDMFootnoteList"/>
    <w:uiPriority w:val="99"/>
    <w:rsid w:val="00CB4B39"/>
    <w:pPr>
      <w:numPr>
        <w:numId w:val="22"/>
      </w:numPr>
    </w:pPr>
  </w:style>
  <w:style w:type="numbering" w:customStyle="1" w:styleId="SDMDocInfoTextBullets">
    <w:name w:val="SDMDocInfoTextBullets"/>
    <w:uiPriority w:val="99"/>
    <w:rsid w:val="00CB4B39"/>
    <w:pPr>
      <w:numPr>
        <w:numId w:val="23"/>
      </w:numPr>
    </w:pPr>
  </w:style>
  <w:style w:type="table" w:customStyle="1" w:styleId="SDMBoxFullPage">
    <w:name w:val="SDMBoxFullPage"/>
    <w:basedOn w:val="SDMBox"/>
    <w:uiPriority w:val="99"/>
    <w:rsid w:val="00CB4B39"/>
    <w:tblPr>
      <w:jc w:val="center"/>
      <w:tblInd w:w="0" w:type="dxa"/>
    </w:tblPr>
    <w:trPr>
      <w:jc w:val="center"/>
    </w:trPr>
    <w:tcPr>
      <w:shd w:val="clear" w:color="auto" w:fill="E6E6E6"/>
    </w:tcPr>
    <w:tblStylePr w:type="firstRow">
      <w:pPr>
        <w:keepNext/>
        <w:keepLines/>
        <w:wordWrap/>
      </w:pPr>
      <w:rPr>
        <w:b/>
      </w:rPr>
      <w:tblPr/>
      <w:tcPr>
        <w:tcMar>
          <w:top w:w="57" w:type="dxa"/>
          <w:left w:w="0" w:type="nil"/>
          <w:bottom w:w="57" w:type="dxa"/>
          <w:right w:w="0" w:type="nil"/>
        </w:tcMar>
      </w:tcPr>
    </w:tblStylePr>
    <w:tblStylePr w:type="lastRow">
      <w:pPr>
        <w:keepNext w:val="0"/>
        <w:wordWrap/>
      </w:pPr>
    </w:tblStylePr>
  </w:style>
  <w:style w:type="paragraph" w:customStyle="1" w:styleId="SDMTableBoxFigureFootnoteFullPage">
    <w:name w:val="SDMTableBoxFigureFootnoteFullPage"/>
    <w:basedOn w:val="SDMTableBoxFigureFootnote"/>
    <w:rsid w:val="00CB4B39"/>
    <w:pPr>
      <w:numPr>
        <w:numId w:val="26"/>
      </w:numPr>
    </w:pPr>
  </w:style>
  <w:style w:type="paragraph" w:customStyle="1" w:styleId="SDMTableBoxFigureFootnoteSL1FullPage">
    <w:name w:val="SDMTableBoxFigureFootnoteSL1FullPage"/>
    <w:basedOn w:val="SDMTableBoxFigureFootnoteSL1"/>
    <w:rsid w:val="00CB4B39"/>
    <w:pPr>
      <w:numPr>
        <w:numId w:val="26"/>
      </w:numPr>
    </w:pPr>
  </w:style>
  <w:style w:type="paragraph" w:customStyle="1" w:styleId="SDMTableBoxFigureFootnoteSL2FullPage">
    <w:name w:val="SDMTableBoxFigureFootnoteSL2FullPage"/>
    <w:basedOn w:val="SDMTableBoxFigureFootnoteSL2"/>
    <w:rsid w:val="00CB4B39"/>
    <w:pPr>
      <w:numPr>
        <w:numId w:val="26"/>
      </w:numPr>
    </w:pPr>
  </w:style>
  <w:style w:type="paragraph" w:customStyle="1" w:styleId="SDMTableBoxFigureFootnoteSL3FullPage">
    <w:name w:val="SDMTableBoxFigureFootnoteSL3FullPage"/>
    <w:basedOn w:val="SDMTableBoxFigureFootnoteSL3"/>
    <w:rsid w:val="00CB4B39"/>
    <w:pPr>
      <w:numPr>
        <w:numId w:val="26"/>
      </w:numPr>
      <w:ind w:left="1248" w:hanging="397"/>
    </w:pPr>
  </w:style>
  <w:style w:type="paragraph" w:customStyle="1" w:styleId="SDMTableBoxFigureFootnoteSL4FullPage">
    <w:name w:val="SDMTableBoxFigureFootnoteSL4FullPage"/>
    <w:basedOn w:val="SDMTableBoxFigureFootnoteSL4"/>
    <w:rsid w:val="00CB4B39"/>
    <w:pPr>
      <w:numPr>
        <w:numId w:val="26"/>
      </w:numPr>
      <w:ind w:left="1587" w:hanging="340"/>
    </w:pPr>
  </w:style>
  <w:style w:type="paragraph" w:customStyle="1" w:styleId="SDMTableBoxFigureFootnoteSL5FullPage">
    <w:name w:val="SDMTableBoxFigureFootnoteSL5FullPage"/>
    <w:basedOn w:val="SDMTableBoxFigureFootnoteSL5"/>
    <w:rsid w:val="00CB4B39"/>
    <w:pPr>
      <w:numPr>
        <w:numId w:val="26"/>
      </w:numPr>
      <w:ind w:left="2042" w:hanging="454"/>
    </w:pPr>
  </w:style>
  <w:style w:type="numbering" w:customStyle="1" w:styleId="SDMTableBoxFigureFootnoteFullPageList">
    <w:name w:val="SDMTableBoxFigureFootnoteFullPageList"/>
    <w:uiPriority w:val="99"/>
    <w:rsid w:val="00CB4B39"/>
    <w:pPr>
      <w:numPr>
        <w:numId w:val="24"/>
      </w:numPr>
    </w:pPr>
  </w:style>
  <w:style w:type="character" w:customStyle="1" w:styleId="CommentTextChar">
    <w:name w:val="Comment Text Char"/>
    <w:link w:val="CommentText"/>
    <w:rsid w:val="008B3111"/>
    <w:rPr>
      <w:rFonts w:ascii="Arial" w:hAnsi="Arial"/>
      <w:lang w:val="en-GB"/>
    </w:rPr>
  </w:style>
  <w:style w:type="numbering" w:customStyle="1" w:styleId="SDMTableBoxParaList">
    <w:name w:val="SDMTable&amp;BoxParaList"/>
    <w:rsid w:val="008B3111"/>
    <w:pPr>
      <w:numPr>
        <w:numId w:val="28"/>
      </w:numPr>
    </w:pPr>
  </w:style>
  <w:style w:type="numbering" w:customStyle="1" w:styleId="SDMMethEquationNumberingList">
    <w:name w:val="SDMMethEquationNumberingList"/>
    <w:uiPriority w:val="99"/>
    <w:rsid w:val="008B3111"/>
    <w:pPr>
      <w:numPr>
        <w:numId w:val="29"/>
      </w:numPr>
    </w:pPr>
  </w:style>
  <w:style w:type="paragraph" w:customStyle="1" w:styleId="SDMPDDPoACaption">
    <w:name w:val="SDMPDD&amp;PoACaption"/>
    <w:basedOn w:val="Caption"/>
    <w:qFormat/>
    <w:rsid w:val="008B3111"/>
    <w:rPr>
      <w:b w:val="0"/>
      <w:i/>
    </w:rPr>
  </w:style>
  <w:style w:type="paragraph" w:customStyle="1" w:styleId="SDMPDDPoASection">
    <w:name w:val="SDMPDD&amp;PoASection"/>
    <w:basedOn w:val="SDMHead2"/>
    <w:qFormat/>
    <w:rsid w:val="008B3111"/>
    <w:pPr>
      <w:tabs>
        <w:tab w:val="left" w:pos="2325"/>
      </w:tabs>
      <w:outlineLvl w:val="0"/>
    </w:pPr>
  </w:style>
  <w:style w:type="numbering" w:customStyle="1" w:styleId="SDMPDDPoASectionList">
    <w:name w:val="SDMPDD&amp;PoASectionList"/>
    <w:uiPriority w:val="99"/>
    <w:rsid w:val="008B3111"/>
    <w:pPr>
      <w:numPr>
        <w:numId w:val="34"/>
      </w:numPr>
    </w:pPr>
  </w:style>
  <w:style w:type="paragraph" w:customStyle="1" w:styleId="SDMPDDPoASubSection1">
    <w:name w:val="SDMPDD&amp;PoASubSection1"/>
    <w:basedOn w:val="SDMHead3"/>
    <w:qFormat/>
    <w:rsid w:val="008B3111"/>
    <w:pPr>
      <w:numPr>
        <w:ilvl w:val="0"/>
        <w:numId w:val="0"/>
      </w:numPr>
      <w:tabs>
        <w:tab w:val="left" w:pos="1474"/>
      </w:tabs>
      <w:outlineLvl w:val="1"/>
    </w:pPr>
    <w:rPr>
      <w:rFonts w:eastAsia="MS Mincho"/>
    </w:rPr>
  </w:style>
  <w:style w:type="paragraph" w:customStyle="1" w:styleId="SDMPDDPoASubSection2">
    <w:name w:val="SDMPDD&amp;PoASubSection2"/>
    <w:basedOn w:val="SDMHead3"/>
    <w:qFormat/>
    <w:rsid w:val="008B3111"/>
    <w:pPr>
      <w:numPr>
        <w:ilvl w:val="0"/>
        <w:numId w:val="0"/>
      </w:numPr>
      <w:tabs>
        <w:tab w:val="left" w:pos="1474"/>
      </w:tabs>
    </w:pPr>
  </w:style>
  <w:style w:type="paragraph" w:customStyle="1" w:styleId="SymbolForm">
    <w:name w:val="SymbolForm"/>
    <w:basedOn w:val="Normal"/>
    <w:rsid w:val="00F44319"/>
    <w:pPr>
      <w:jc w:val="right"/>
    </w:pPr>
    <w:rPr>
      <w:rFonts w:cs="Arial"/>
      <w:b/>
      <w:bCs/>
      <w:sz w:val="24"/>
      <w:szCs w:val="24"/>
      <w:lang w:val="en-US" w:eastAsia="en-US"/>
    </w:rPr>
  </w:style>
  <w:style w:type="paragraph" w:customStyle="1" w:styleId="FooterF">
    <w:name w:val="FooterF"/>
    <w:basedOn w:val="Footer"/>
    <w:rsid w:val="00E8385B"/>
    <w:pPr>
      <w:tabs>
        <w:tab w:val="clear" w:pos="4320"/>
        <w:tab w:val="clear" w:pos="8640"/>
        <w:tab w:val="right" w:pos="9639"/>
      </w:tabs>
      <w:ind w:right="-1"/>
    </w:pPr>
    <w:rPr>
      <w:rFonts w:cs="Arial"/>
      <w:b/>
      <w:sz w:val="24"/>
      <w:szCs w:val="24"/>
      <w:lang w:val="en-US" w:eastAsia="en-US"/>
    </w:rPr>
  </w:style>
  <w:style w:type="character" w:customStyle="1" w:styleId="BodyTextChar">
    <w:name w:val="Body Text Char"/>
    <w:link w:val="BodyText"/>
    <w:rsid w:val="00251799"/>
    <w:rPr>
      <w:rFonts w:eastAsia="Times New Roman"/>
      <w:sz w:val="22"/>
      <w:lang w:val="en-GB" w:eastAsia="de-DE"/>
    </w:rPr>
  </w:style>
  <w:style w:type="paragraph" w:styleId="Revision">
    <w:name w:val="Revision"/>
    <w:hidden/>
    <w:uiPriority w:val="99"/>
    <w:semiHidden/>
    <w:rsid w:val="004A72E7"/>
    <w:rPr>
      <w:rFonts w:ascii="Arial" w:eastAsia="Times New Roman" w:hAnsi="Arial"/>
      <w:sz w:val="22"/>
      <w:lang w:val="en-GB" w:eastAsia="de-DE"/>
    </w:rPr>
  </w:style>
  <w:style w:type="paragraph" w:customStyle="1" w:styleId="ParaTickBox">
    <w:name w:val="ParaTickBox"/>
    <w:basedOn w:val="Normal"/>
    <w:rsid w:val="00E31949"/>
    <w:pPr>
      <w:tabs>
        <w:tab w:val="left" w:pos="510"/>
      </w:tabs>
      <w:spacing w:before="60" w:after="60"/>
      <w:ind w:left="511" w:hanging="454"/>
      <w:jc w:val="left"/>
    </w:pPr>
    <w:rPr>
      <w:rFonts w:cs="Arial"/>
      <w:sz w:val="20"/>
      <w:szCs w:val="18"/>
    </w:rPr>
  </w:style>
  <w:style w:type="character" w:styleId="FollowedHyperlink">
    <w:name w:val="FollowedHyperlink"/>
    <w:rsid w:val="00E75CDF"/>
    <w:rPr>
      <w:color w:val="954F72"/>
      <w:u w:val="single"/>
    </w:rPr>
  </w:style>
  <w:style w:type="character" w:customStyle="1" w:styleId="UnresolvedMention1">
    <w:name w:val="Unresolved Mention1"/>
    <w:uiPriority w:val="99"/>
    <w:semiHidden/>
    <w:unhideWhenUsed/>
    <w:rsid w:val="00D715FE"/>
    <w:rPr>
      <w:color w:val="808080"/>
      <w:shd w:val="clear" w:color="auto" w:fill="E6E6E6"/>
    </w:rPr>
  </w:style>
  <w:style w:type="paragraph" w:customStyle="1" w:styleId="BVIfnrCharCharChar">
    <w:name w:val="BVI fnr Char Char Char"/>
    <w:aliases w:val="BVI fnr Zchn Zchn Char Char Char Char Char Char,ftref Char Char Char,BVI fnr Char1,BVI fnr Char,BVI fnr Car Car Char,BVI fnr Car Char,BVI fnr Car Car Car Car Char, BVI fnr Char Char Char, BVI fnr Char1, BVI fnr Car Car Char"/>
    <w:basedOn w:val="Normal"/>
    <w:link w:val="FootnoteReference"/>
    <w:uiPriority w:val="99"/>
    <w:rsid w:val="00D715FE"/>
    <w:pPr>
      <w:spacing w:after="160" w:line="240" w:lineRule="exact"/>
      <w:jc w:val="left"/>
    </w:pPr>
    <w:rPr>
      <w:rFonts w:ascii="Times New Roman" w:eastAsia="MS Mincho" w:hAnsi="Times New Roman"/>
      <w:sz w:val="20"/>
      <w:vertAlign w:val="superscript"/>
      <w:lang w:val="en-US" w:eastAsia="en-US"/>
    </w:rPr>
  </w:style>
  <w:style w:type="character" w:customStyle="1" w:styleId="UnresolvedMention2">
    <w:name w:val="Unresolved Mention2"/>
    <w:basedOn w:val="DefaultParagraphFont"/>
    <w:uiPriority w:val="99"/>
    <w:semiHidden/>
    <w:unhideWhenUsed/>
    <w:rsid w:val="003342C3"/>
    <w:rPr>
      <w:color w:val="808080"/>
      <w:shd w:val="clear" w:color="auto" w:fill="E6E6E6"/>
    </w:rPr>
  </w:style>
  <w:style w:type="character" w:styleId="UnresolvedMention">
    <w:name w:val="Unresolved Mention"/>
    <w:basedOn w:val="DefaultParagraphFont"/>
    <w:uiPriority w:val="99"/>
    <w:semiHidden/>
    <w:unhideWhenUsed/>
    <w:rsid w:val="00280A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9254">
      <w:bodyDiv w:val="1"/>
      <w:marLeft w:val="0"/>
      <w:marRight w:val="0"/>
      <w:marTop w:val="0"/>
      <w:marBottom w:val="0"/>
      <w:divBdr>
        <w:top w:val="none" w:sz="0" w:space="0" w:color="auto"/>
        <w:left w:val="none" w:sz="0" w:space="0" w:color="auto"/>
        <w:bottom w:val="none" w:sz="0" w:space="0" w:color="auto"/>
        <w:right w:val="none" w:sz="0" w:space="0" w:color="auto"/>
      </w:divBdr>
    </w:div>
    <w:div w:id="138035508">
      <w:bodyDiv w:val="1"/>
      <w:marLeft w:val="0"/>
      <w:marRight w:val="0"/>
      <w:marTop w:val="0"/>
      <w:marBottom w:val="0"/>
      <w:divBdr>
        <w:top w:val="none" w:sz="0" w:space="0" w:color="auto"/>
        <w:left w:val="none" w:sz="0" w:space="0" w:color="auto"/>
        <w:bottom w:val="none" w:sz="0" w:space="0" w:color="auto"/>
        <w:right w:val="none" w:sz="0" w:space="0" w:color="auto"/>
      </w:divBdr>
    </w:div>
    <w:div w:id="145556117">
      <w:bodyDiv w:val="1"/>
      <w:marLeft w:val="0"/>
      <w:marRight w:val="0"/>
      <w:marTop w:val="0"/>
      <w:marBottom w:val="0"/>
      <w:divBdr>
        <w:top w:val="none" w:sz="0" w:space="0" w:color="auto"/>
        <w:left w:val="none" w:sz="0" w:space="0" w:color="auto"/>
        <w:bottom w:val="none" w:sz="0" w:space="0" w:color="auto"/>
        <w:right w:val="none" w:sz="0" w:space="0" w:color="auto"/>
      </w:divBdr>
    </w:div>
    <w:div w:id="209460310">
      <w:bodyDiv w:val="1"/>
      <w:marLeft w:val="0"/>
      <w:marRight w:val="0"/>
      <w:marTop w:val="0"/>
      <w:marBottom w:val="0"/>
      <w:divBdr>
        <w:top w:val="none" w:sz="0" w:space="0" w:color="auto"/>
        <w:left w:val="none" w:sz="0" w:space="0" w:color="auto"/>
        <w:bottom w:val="none" w:sz="0" w:space="0" w:color="auto"/>
        <w:right w:val="none" w:sz="0" w:space="0" w:color="auto"/>
      </w:divBdr>
    </w:div>
    <w:div w:id="241991310">
      <w:bodyDiv w:val="1"/>
      <w:marLeft w:val="0"/>
      <w:marRight w:val="0"/>
      <w:marTop w:val="0"/>
      <w:marBottom w:val="0"/>
      <w:divBdr>
        <w:top w:val="none" w:sz="0" w:space="0" w:color="auto"/>
        <w:left w:val="none" w:sz="0" w:space="0" w:color="auto"/>
        <w:bottom w:val="none" w:sz="0" w:space="0" w:color="auto"/>
        <w:right w:val="none" w:sz="0" w:space="0" w:color="auto"/>
      </w:divBdr>
    </w:div>
    <w:div w:id="250549756">
      <w:bodyDiv w:val="1"/>
      <w:marLeft w:val="0"/>
      <w:marRight w:val="0"/>
      <w:marTop w:val="0"/>
      <w:marBottom w:val="0"/>
      <w:divBdr>
        <w:top w:val="none" w:sz="0" w:space="0" w:color="auto"/>
        <w:left w:val="none" w:sz="0" w:space="0" w:color="auto"/>
        <w:bottom w:val="none" w:sz="0" w:space="0" w:color="auto"/>
        <w:right w:val="none" w:sz="0" w:space="0" w:color="auto"/>
      </w:divBdr>
    </w:div>
    <w:div w:id="291517838">
      <w:bodyDiv w:val="1"/>
      <w:marLeft w:val="0"/>
      <w:marRight w:val="0"/>
      <w:marTop w:val="0"/>
      <w:marBottom w:val="0"/>
      <w:divBdr>
        <w:top w:val="none" w:sz="0" w:space="0" w:color="auto"/>
        <w:left w:val="none" w:sz="0" w:space="0" w:color="auto"/>
        <w:bottom w:val="none" w:sz="0" w:space="0" w:color="auto"/>
        <w:right w:val="none" w:sz="0" w:space="0" w:color="auto"/>
      </w:divBdr>
    </w:div>
    <w:div w:id="295449623">
      <w:bodyDiv w:val="1"/>
      <w:marLeft w:val="0"/>
      <w:marRight w:val="0"/>
      <w:marTop w:val="0"/>
      <w:marBottom w:val="0"/>
      <w:divBdr>
        <w:top w:val="none" w:sz="0" w:space="0" w:color="auto"/>
        <w:left w:val="none" w:sz="0" w:space="0" w:color="auto"/>
        <w:bottom w:val="none" w:sz="0" w:space="0" w:color="auto"/>
        <w:right w:val="none" w:sz="0" w:space="0" w:color="auto"/>
      </w:divBdr>
    </w:div>
    <w:div w:id="297952691">
      <w:bodyDiv w:val="1"/>
      <w:marLeft w:val="0"/>
      <w:marRight w:val="0"/>
      <w:marTop w:val="0"/>
      <w:marBottom w:val="0"/>
      <w:divBdr>
        <w:top w:val="none" w:sz="0" w:space="0" w:color="auto"/>
        <w:left w:val="none" w:sz="0" w:space="0" w:color="auto"/>
        <w:bottom w:val="none" w:sz="0" w:space="0" w:color="auto"/>
        <w:right w:val="none" w:sz="0" w:space="0" w:color="auto"/>
      </w:divBdr>
    </w:div>
    <w:div w:id="354422352">
      <w:bodyDiv w:val="1"/>
      <w:marLeft w:val="0"/>
      <w:marRight w:val="0"/>
      <w:marTop w:val="0"/>
      <w:marBottom w:val="0"/>
      <w:divBdr>
        <w:top w:val="none" w:sz="0" w:space="0" w:color="auto"/>
        <w:left w:val="none" w:sz="0" w:space="0" w:color="auto"/>
        <w:bottom w:val="none" w:sz="0" w:space="0" w:color="auto"/>
        <w:right w:val="none" w:sz="0" w:space="0" w:color="auto"/>
      </w:divBdr>
    </w:div>
    <w:div w:id="397092439">
      <w:bodyDiv w:val="1"/>
      <w:marLeft w:val="0"/>
      <w:marRight w:val="0"/>
      <w:marTop w:val="0"/>
      <w:marBottom w:val="0"/>
      <w:divBdr>
        <w:top w:val="none" w:sz="0" w:space="0" w:color="auto"/>
        <w:left w:val="none" w:sz="0" w:space="0" w:color="auto"/>
        <w:bottom w:val="none" w:sz="0" w:space="0" w:color="auto"/>
        <w:right w:val="none" w:sz="0" w:space="0" w:color="auto"/>
      </w:divBdr>
    </w:div>
    <w:div w:id="416750459">
      <w:bodyDiv w:val="1"/>
      <w:marLeft w:val="0"/>
      <w:marRight w:val="0"/>
      <w:marTop w:val="0"/>
      <w:marBottom w:val="0"/>
      <w:divBdr>
        <w:top w:val="none" w:sz="0" w:space="0" w:color="auto"/>
        <w:left w:val="none" w:sz="0" w:space="0" w:color="auto"/>
        <w:bottom w:val="none" w:sz="0" w:space="0" w:color="auto"/>
        <w:right w:val="none" w:sz="0" w:space="0" w:color="auto"/>
      </w:divBdr>
    </w:div>
    <w:div w:id="464742849">
      <w:bodyDiv w:val="1"/>
      <w:marLeft w:val="0"/>
      <w:marRight w:val="0"/>
      <w:marTop w:val="0"/>
      <w:marBottom w:val="0"/>
      <w:divBdr>
        <w:top w:val="none" w:sz="0" w:space="0" w:color="auto"/>
        <w:left w:val="none" w:sz="0" w:space="0" w:color="auto"/>
        <w:bottom w:val="none" w:sz="0" w:space="0" w:color="auto"/>
        <w:right w:val="none" w:sz="0" w:space="0" w:color="auto"/>
      </w:divBdr>
    </w:div>
    <w:div w:id="488250183">
      <w:bodyDiv w:val="1"/>
      <w:marLeft w:val="0"/>
      <w:marRight w:val="0"/>
      <w:marTop w:val="0"/>
      <w:marBottom w:val="0"/>
      <w:divBdr>
        <w:top w:val="none" w:sz="0" w:space="0" w:color="auto"/>
        <w:left w:val="none" w:sz="0" w:space="0" w:color="auto"/>
        <w:bottom w:val="none" w:sz="0" w:space="0" w:color="auto"/>
        <w:right w:val="none" w:sz="0" w:space="0" w:color="auto"/>
      </w:divBdr>
    </w:div>
    <w:div w:id="578027948">
      <w:bodyDiv w:val="1"/>
      <w:marLeft w:val="0"/>
      <w:marRight w:val="0"/>
      <w:marTop w:val="0"/>
      <w:marBottom w:val="0"/>
      <w:divBdr>
        <w:top w:val="none" w:sz="0" w:space="0" w:color="auto"/>
        <w:left w:val="none" w:sz="0" w:space="0" w:color="auto"/>
        <w:bottom w:val="none" w:sz="0" w:space="0" w:color="auto"/>
        <w:right w:val="none" w:sz="0" w:space="0" w:color="auto"/>
      </w:divBdr>
    </w:div>
    <w:div w:id="609122431">
      <w:bodyDiv w:val="1"/>
      <w:marLeft w:val="0"/>
      <w:marRight w:val="0"/>
      <w:marTop w:val="0"/>
      <w:marBottom w:val="0"/>
      <w:divBdr>
        <w:top w:val="none" w:sz="0" w:space="0" w:color="auto"/>
        <w:left w:val="none" w:sz="0" w:space="0" w:color="auto"/>
        <w:bottom w:val="none" w:sz="0" w:space="0" w:color="auto"/>
        <w:right w:val="none" w:sz="0" w:space="0" w:color="auto"/>
      </w:divBdr>
    </w:div>
    <w:div w:id="626662033">
      <w:bodyDiv w:val="1"/>
      <w:marLeft w:val="0"/>
      <w:marRight w:val="0"/>
      <w:marTop w:val="0"/>
      <w:marBottom w:val="0"/>
      <w:divBdr>
        <w:top w:val="none" w:sz="0" w:space="0" w:color="auto"/>
        <w:left w:val="none" w:sz="0" w:space="0" w:color="auto"/>
        <w:bottom w:val="none" w:sz="0" w:space="0" w:color="auto"/>
        <w:right w:val="none" w:sz="0" w:space="0" w:color="auto"/>
      </w:divBdr>
    </w:div>
    <w:div w:id="649360864">
      <w:bodyDiv w:val="1"/>
      <w:marLeft w:val="0"/>
      <w:marRight w:val="0"/>
      <w:marTop w:val="0"/>
      <w:marBottom w:val="0"/>
      <w:divBdr>
        <w:top w:val="none" w:sz="0" w:space="0" w:color="auto"/>
        <w:left w:val="none" w:sz="0" w:space="0" w:color="auto"/>
        <w:bottom w:val="none" w:sz="0" w:space="0" w:color="auto"/>
        <w:right w:val="none" w:sz="0" w:space="0" w:color="auto"/>
      </w:divBdr>
    </w:div>
    <w:div w:id="652491244">
      <w:bodyDiv w:val="1"/>
      <w:marLeft w:val="0"/>
      <w:marRight w:val="0"/>
      <w:marTop w:val="0"/>
      <w:marBottom w:val="0"/>
      <w:divBdr>
        <w:top w:val="none" w:sz="0" w:space="0" w:color="auto"/>
        <w:left w:val="none" w:sz="0" w:space="0" w:color="auto"/>
        <w:bottom w:val="none" w:sz="0" w:space="0" w:color="auto"/>
        <w:right w:val="none" w:sz="0" w:space="0" w:color="auto"/>
      </w:divBdr>
    </w:div>
    <w:div w:id="656030821">
      <w:bodyDiv w:val="1"/>
      <w:marLeft w:val="0"/>
      <w:marRight w:val="0"/>
      <w:marTop w:val="0"/>
      <w:marBottom w:val="0"/>
      <w:divBdr>
        <w:top w:val="none" w:sz="0" w:space="0" w:color="auto"/>
        <w:left w:val="none" w:sz="0" w:space="0" w:color="auto"/>
        <w:bottom w:val="none" w:sz="0" w:space="0" w:color="auto"/>
        <w:right w:val="none" w:sz="0" w:space="0" w:color="auto"/>
      </w:divBdr>
    </w:div>
    <w:div w:id="705066340">
      <w:bodyDiv w:val="1"/>
      <w:marLeft w:val="0"/>
      <w:marRight w:val="0"/>
      <w:marTop w:val="0"/>
      <w:marBottom w:val="0"/>
      <w:divBdr>
        <w:top w:val="none" w:sz="0" w:space="0" w:color="auto"/>
        <w:left w:val="none" w:sz="0" w:space="0" w:color="auto"/>
        <w:bottom w:val="none" w:sz="0" w:space="0" w:color="auto"/>
        <w:right w:val="none" w:sz="0" w:space="0" w:color="auto"/>
      </w:divBdr>
    </w:div>
    <w:div w:id="737559717">
      <w:bodyDiv w:val="1"/>
      <w:marLeft w:val="0"/>
      <w:marRight w:val="0"/>
      <w:marTop w:val="0"/>
      <w:marBottom w:val="0"/>
      <w:divBdr>
        <w:top w:val="none" w:sz="0" w:space="0" w:color="auto"/>
        <w:left w:val="none" w:sz="0" w:space="0" w:color="auto"/>
        <w:bottom w:val="none" w:sz="0" w:space="0" w:color="auto"/>
        <w:right w:val="none" w:sz="0" w:space="0" w:color="auto"/>
      </w:divBdr>
    </w:div>
    <w:div w:id="844975392">
      <w:bodyDiv w:val="1"/>
      <w:marLeft w:val="0"/>
      <w:marRight w:val="0"/>
      <w:marTop w:val="0"/>
      <w:marBottom w:val="0"/>
      <w:divBdr>
        <w:top w:val="none" w:sz="0" w:space="0" w:color="auto"/>
        <w:left w:val="none" w:sz="0" w:space="0" w:color="auto"/>
        <w:bottom w:val="none" w:sz="0" w:space="0" w:color="auto"/>
        <w:right w:val="none" w:sz="0" w:space="0" w:color="auto"/>
      </w:divBdr>
    </w:div>
    <w:div w:id="857816184">
      <w:bodyDiv w:val="1"/>
      <w:marLeft w:val="0"/>
      <w:marRight w:val="0"/>
      <w:marTop w:val="0"/>
      <w:marBottom w:val="0"/>
      <w:divBdr>
        <w:top w:val="none" w:sz="0" w:space="0" w:color="auto"/>
        <w:left w:val="none" w:sz="0" w:space="0" w:color="auto"/>
        <w:bottom w:val="none" w:sz="0" w:space="0" w:color="auto"/>
        <w:right w:val="none" w:sz="0" w:space="0" w:color="auto"/>
      </w:divBdr>
    </w:div>
    <w:div w:id="858278515">
      <w:bodyDiv w:val="1"/>
      <w:marLeft w:val="0"/>
      <w:marRight w:val="0"/>
      <w:marTop w:val="0"/>
      <w:marBottom w:val="0"/>
      <w:divBdr>
        <w:top w:val="none" w:sz="0" w:space="0" w:color="auto"/>
        <w:left w:val="none" w:sz="0" w:space="0" w:color="auto"/>
        <w:bottom w:val="none" w:sz="0" w:space="0" w:color="auto"/>
        <w:right w:val="none" w:sz="0" w:space="0" w:color="auto"/>
      </w:divBdr>
    </w:div>
    <w:div w:id="859271339">
      <w:bodyDiv w:val="1"/>
      <w:marLeft w:val="0"/>
      <w:marRight w:val="0"/>
      <w:marTop w:val="0"/>
      <w:marBottom w:val="0"/>
      <w:divBdr>
        <w:top w:val="none" w:sz="0" w:space="0" w:color="auto"/>
        <w:left w:val="none" w:sz="0" w:space="0" w:color="auto"/>
        <w:bottom w:val="none" w:sz="0" w:space="0" w:color="auto"/>
        <w:right w:val="none" w:sz="0" w:space="0" w:color="auto"/>
      </w:divBdr>
    </w:div>
    <w:div w:id="867061082">
      <w:bodyDiv w:val="1"/>
      <w:marLeft w:val="0"/>
      <w:marRight w:val="0"/>
      <w:marTop w:val="0"/>
      <w:marBottom w:val="0"/>
      <w:divBdr>
        <w:top w:val="none" w:sz="0" w:space="0" w:color="auto"/>
        <w:left w:val="none" w:sz="0" w:space="0" w:color="auto"/>
        <w:bottom w:val="none" w:sz="0" w:space="0" w:color="auto"/>
        <w:right w:val="none" w:sz="0" w:space="0" w:color="auto"/>
      </w:divBdr>
    </w:div>
    <w:div w:id="900478362">
      <w:bodyDiv w:val="1"/>
      <w:marLeft w:val="0"/>
      <w:marRight w:val="0"/>
      <w:marTop w:val="0"/>
      <w:marBottom w:val="0"/>
      <w:divBdr>
        <w:top w:val="none" w:sz="0" w:space="0" w:color="auto"/>
        <w:left w:val="none" w:sz="0" w:space="0" w:color="auto"/>
        <w:bottom w:val="none" w:sz="0" w:space="0" w:color="auto"/>
        <w:right w:val="none" w:sz="0" w:space="0" w:color="auto"/>
      </w:divBdr>
    </w:div>
    <w:div w:id="918368022">
      <w:bodyDiv w:val="1"/>
      <w:marLeft w:val="0"/>
      <w:marRight w:val="0"/>
      <w:marTop w:val="0"/>
      <w:marBottom w:val="0"/>
      <w:divBdr>
        <w:top w:val="none" w:sz="0" w:space="0" w:color="auto"/>
        <w:left w:val="none" w:sz="0" w:space="0" w:color="auto"/>
        <w:bottom w:val="none" w:sz="0" w:space="0" w:color="auto"/>
        <w:right w:val="none" w:sz="0" w:space="0" w:color="auto"/>
      </w:divBdr>
    </w:div>
    <w:div w:id="974290484">
      <w:bodyDiv w:val="1"/>
      <w:marLeft w:val="0"/>
      <w:marRight w:val="0"/>
      <w:marTop w:val="0"/>
      <w:marBottom w:val="0"/>
      <w:divBdr>
        <w:top w:val="none" w:sz="0" w:space="0" w:color="auto"/>
        <w:left w:val="none" w:sz="0" w:space="0" w:color="auto"/>
        <w:bottom w:val="none" w:sz="0" w:space="0" w:color="auto"/>
        <w:right w:val="none" w:sz="0" w:space="0" w:color="auto"/>
      </w:divBdr>
    </w:div>
    <w:div w:id="980188370">
      <w:bodyDiv w:val="1"/>
      <w:marLeft w:val="0"/>
      <w:marRight w:val="0"/>
      <w:marTop w:val="0"/>
      <w:marBottom w:val="0"/>
      <w:divBdr>
        <w:top w:val="none" w:sz="0" w:space="0" w:color="auto"/>
        <w:left w:val="none" w:sz="0" w:space="0" w:color="auto"/>
        <w:bottom w:val="none" w:sz="0" w:space="0" w:color="auto"/>
        <w:right w:val="none" w:sz="0" w:space="0" w:color="auto"/>
      </w:divBdr>
    </w:div>
    <w:div w:id="986474183">
      <w:bodyDiv w:val="1"/>
      <w:marLeft w:val="0"/>
      <w:marRight w:val="0"/>
      <w:marTop w:val="0"/>
      <w:marBottom w:val="0"/>
      <w:divBdr>
        <w:top w:val="none" w:sz="0" w:space="0" w:color="auto"/>
        <w:left w:val="none" w:sz="0" w:space="0" w:color="auto"/>
        <w:bottom w:val="none" w:sz="0" w:space="0" w:color="auto"/>
        <w:right w:val="none" w:sz="0" w:space="0" w:color="auto"/>
      </w:divBdr>
    </w:div>
    <w:div w:id="1024549640">
      <w:bodyDiv w:val="1"/>
      <w:marLeft w:val="0"/>
      <w:marRight w:val="0"/>
      <w:marTop w:val="0"/>
      <w:marBottom w:val="0"/>
      <w:divBdr>
        <w:top w:val="none" w:sz="0" w:space="0" w:color="auto"/>
        <w:left w:val="none" w:sz="0" w:space="0" w:color="auto"/>
        <w:bottom w:val="none" w:sz="0" w:space="0" w:color="auto"/>
        <w:right w:val="none" w:sz="0" w:space="0" w:color="auto"/>
      </w:divBdr>
    </w:div>
    <w:div w:id="1071580149">
      <w:bodyDiv w:val="1"/>
      <w:marLeft w:val="0"/>
      <w:marRight w:val="0"/>
      <w:marTop w:val="0"/>
      <w:marBottom w:val="0"/>
      <w:divBdr>
        <w:top w:val="none" w:sz="0" w:space="0" w:color="auto"/>
        <w:left w:val="none" w:sz="0" w:space="0" w:color="auto"/>
        <w:bottom w:val="none" w:sz="0" w:space="0" w:color="auto"/>
        <w:right w:val="none" w:sz="0" w:space="0" w:color="auto"/>
      </w:divBdr>
    </w:div>
    <w:div w:id="1096829280">
      <w:bodyDiv w:val="1"/>
      <w:marLeft w:val="0"/>
      <w:marRight w:val="0"/>
      <w:marTop w:val="0"/>
      <w:marBottom w:val="0"/>
      <w:divBdr>
        <w:top w:val="none" w:sz="0" w:space="0" w:color="auto"/>
        <w:left w:val="none" w:sz="0" w:space="0" w:color="auto"/>
        <w:bottom w:val="none" w:sz="0" w:space="0" w:color="auto"/>
        <w:right w:val="none" w:sz="0" w:space="0" w:color="auto"/>
      </w:divBdr>
    </w:div>
    <w:div w:id="1102337922">
      <w:bodyDiv w:val="1"/>
      <w:marLeft w:val="0"/>
      <w:marRight w:val="0"/>
      <w:marTop w:val="0"/>
      <w:marBottom w:val="0"/>
      <w:divBdr>
        <w:top w:val="none" w:sz="0" w:space="0" w:color="auto"/>
        <w:left w:val="none" w:sz="0" w:space="0" w:color="auto"/>
        <w:bottom w:val="none" w:sz="0" w:space="0" w:color="auto"/>
        <w:right w:val="none" w:sz="0" w:space="0" w:color="auto"/>
      </w:divBdr>
    </w:div>
    <w:div w:id="1117603170">
      <w:bodyDiv w:val="1"/>
      <w:marLeft w:val="0"/>
      <w:marRight w:val="0"/>
      <w:marTop w:val="0"/>
      <w:marBottom w:val="0"/>
      <w:divBdr>
        <w:top w:val="none" w:sz="0" w:space="0" w:color="auto"/>
        <w:left w:val="none" w:sz="0" w:space="0" w:color="auto"/>
        <w:bottom w:val="none" w:sz="0" w:space="0" w:color="auto"/>
        <w:right w:val="none" w:sz="0" w:space="0" w:color="auto"/>
      </w:divBdr>
    </w:div>
    <w:div w:id="1145394470">
      <w:bodyDiv w:val="1"/>
      <w:marLeft w:val="0"/>
      <w:marRight w:val="0"/>
      <w:marTop w:val="0"/>
      <w:marBottom w:val="0"/>
      <w:divBdr>
        <w:top w:val="none" w:sz="0" w:space="0" w:color="auto"/>
        <w:left w:val="none" w:sz="0" w:space="0" w:color="auto"/>
        <w:bottom w:val="none" w:sz="0" w:space="0" w:color="auto"/>
        <w:right w:val="none" w:sz="0" w:space="0" w:color="auto"/>
      </w:divBdr>
    </w:div>
    <w:div w:id="1187213121">
      <w:bodyDiv w:val="1"/>
      <w:marLeft w:val="0"/>
      <w:marRight w:val="0"/>
      <w:marTop w:val="0"/>
      <w:marBottom w:val="0"/>
      <w:divBdr>
        <w:top w:val="none" w:sz="0" w:space="0" w:color="auto"/>
        <w:left w:val="none" w:sz="0" w:space="0" w:color="auto"/>
        <w:bottom w:val="none" w:sz="0" w:space="0" w:color="auto"/>
        <w:right w:val="none" w:sz="0" w:space="0" w:color="auto"/>
      </w:divBdr>
    </w:div>
    <w:div w:id="1216550877">
      <w:bodyDiv w:val="1"/>
      <w:marLeft w:val="0"/>
      <w:marRight w:val="0"/>
      <w:marTop w:val="0"/>
      <w:marBottom w:val="0"/>
      <w:divBdr>
        <w:top w:val="none" w:sz="0" w:space="0" w:color="auto"/>
        <w:left w:val="none" w:sz="0" w:space="0" w:color="auto"/>
        <w:bottom w:val="none" w:sz="0" w:space="0" w:color="auto"/>
        <w:right w:val="none" w:sz="0" w:space="0" w:color="auto"/>
      </w:divBdr>
    </w:div>
    <w:div w:id="1228564916">
      <w:bodyDiv w:val="1"/>
      <w:marLeft w:val="0"/>
      <w:marRight w:val="0"/>
      <w:marTop w:val="0"/>
      <w:marBottom w:val="0"/>
      <w:divBdr>
        <w:top w:val="none" w:sz="0" w:space="0" w:color="auto"/>
        <w:left w:val="none" w:sz="0" w:space="0" w:color="auto"/>
        <w:bottom w:val="none" w:sz="0" w:space="0" w:color="auto"/>
        <w:right w:val="none" w:sz="0" w:space="0" w:color="auto"/>
      </w:divBdr>
    </w:div>
    <w:div w:id="1275676426">
      <w:bodyDiv w:val="1"/>
      <w:marLeft w:val="0"/>
      <w:marRight w:val="0"/>
      <w:marTop w:val="0"/>
      <w:marBottom w:val="0"/>
      <w:divBdr>
        <w:top w:val="none" w:sz="0" w:space="0" w:color="auto"/>
        <w:left w:val="none" w:sz="0" w:space="0" w:color="auto"/>
        <w:bottom w:val="none" w:sz="0" w:space="0" w:color="auto"/>
        <w:right w:val="none" w:sz="0" w:space="0" w:color="auto"/>
      </w:divBdr>
    </w:div>
    <w:div w:id="1296326889">
      <w:bodyDiv w:val="1"/>
      <w:marLeft w:val="0"/>
      <w:marRight w:val="0"/>
      <w:marTop w:val="0"/>
      <w:marBottom w:val="0"/>
      <w:divBdr>
        <w:top w:val="none" w:sz="0" w:space="0" w:color="auto"/>
        <w:left w:val="none" w:sz="0" w:space="0" w:color="auto"/>
        <w:bottom w:val="none" w:sz="0" w:space="0" w:color="auto"/>
        <w:right w:val="none" w:sz="0" w:space="0" w:color="auto"/>
      </w:divBdr>
    </w:div>
    <w:div w:id="1350840315">
      <w:bodyDiv w:val="1"/>
      <w:marLeft w:val="0"/>
      <w:marRight w:val="0"/>
      <w:marTop w:val="0"/>
      <w:marBottom w:val="0"/>
      <w:divBdr>
        <w:top w:val="none" w:sz="0" w:space="0" w:color="auto"/>
        <w:left w:val="none" w:sz="0" w:space="0" w:color="auto"/>
        <w:bottom w:val="none" w:sz="0" w:space="0" w:color="auto"/>
        <w:right w:val="none" w:sz="0" w:space="0" w:color="auto"/>
      </w:divBdr>
    </w:div>
    <w:div w:id="1357121596">
      <w:bodyDiv w:val="1"/>
      <w:marLeft w:val="0"/>
      <w:marRight w:val="0"/>
      <w:marTop w:val="0"/>
      <w:marBottom w:val="0"/>
      <w:divBdr>
        <w:top w:val="none" w:sz="0" w:space="0" w:color="auto"/>
        <w:left w:val="none" w:sz="0" w:space="0" w:color="auto"/>
        <w:bottom w:val="none" w:sz="0" w:space="0" w:color="auto"/>
        <w:right w:val="none" w:sz="0" w:space="0" w:color="auto"/>
      </w:divBdr>
    </w:div>
    <w:div w:id="1443719050">
      <w:bodyDiv w:val="1"/>
      <w:marLeft w:val="0"/>
      <w:marRight w:val="0"/>
      <w:marTop w:val="0"/>
      <w:marBottom w:val="0"/>
      <w:divBdr>
        <w:top w:val="none" w:sz="0" w:space="0" w:color="auto"/>
        <w:left w:val="none" w:sz="0" w:space="0" w:color="auto"/>
        <w:bottom w:val="none" w:sz="0" w:space="0" w:color="auto"/>
        <w:right w:val="none" w:sz="0" w:space="0" w:color="auto"/>
      </w:divBdr>
    </w:div>
    <w:div w:id="1497919835">
      <w:bodyDiv w:val="1"/>
      <w:marLeft w:val="0"/>
      <w:marRight w:val="0"/>
      <w:marTop w:val="0"/>
      <w:marBottom w:val="0"/>
      <w:divBdr>
        <w:top w:val="none" w:sz="0" w:space="0" w:color="auto"/>
        <w:left w:val="none" w:sz="0" w:space="0" w:color="auto"/>
        <w:bottom w:val="none" w:sz="0" w:space="0" w:color="auto"/>
        <w:right w:val="none" w:sz="0" w:space="0" w:color="auto"/>
      </w:divBdr>
    </w:div>
    <w:div w:id="1534414454">
      <w:bodyDiv w:val="1"/>
      <w:marLeft w:val="0"/>
      <w:marRight w:val="0"/>
      <w:marTop w:val="0"/>
      <w:marBottom w:val="0"/>
      <w:divBdr>
        <w:top w:val="none" w:sz="0" w:space="0" w:color="auto"/>
        <w:left w:val="none" w:sz="0" w:space="0" w:color="auto"/>
        <w:bottom w:val="none" w:sz="0" w:space="0" w:color="auto"/>
        <w:right w:val="none" w:sz="0" w:space="0" w:color="auto"/>
      </w:divBdr>
    </w:div>
    <w:div w:id="1537423984">
      <w:bodyDiv w:val="1"/>
      <w:marLeft w:val="0"/>
      <w:marRight w:val="0"/>
      <w:marTop w:val="0"/>
      <w:marBottom w:val="0"/>
      <w:divBdr>
        <w:top w:val="none" w:sz="0" w:space="0" w:color="auto"/>
        <w:left w:val="none" w:sz="0" w:space="0" w:color="auto"/>
        <w:bottom w:val="none" w:sz="0" w:space="0" w:color="auto"/>
        <w:right w:val="none" w:sz="0" w:space="0" w:color="auto"/>
      </w:divBdr>
    </w:div>
    <w:div w:id="1540051335">
      <w:bodyDiv w:val="1"/>
      <w:marLeft w:val="0"/>
      <w:marRight w:val="0"/>
      <w:marTop w:val="0"/>
      <w:marBottom w:val="0"/>
      <w:divBdr>
        <w:top w:val="none" w:sz="0" w:space="0" w:color="auto"/>
        <w:left w:val="none" w:sz="0" w:space="0" w:color="auto"/>
        <w:bottom w:val="none" w:sz="0" w:space="0" w:color="auto"/>
        <w:right w:val="none" w:sz="0" w:space="0" w:color="auto"/>
      </w:divBdr>
    </w:div>
    <w:div w:id="1544174349">
      <w:bodyDiv w:val="1"/>
      <w:marLeft w:val="0"/>
      <w:marRight w:val="0"/>
      <w:marTop w:val="0"/>
      <w:marBottom w:val="0"/>
      <w:divBdr>
        <w:top w:val="none" w:sz="0" w:space="0" w:color="auto"/>
        <w:left w:val="none" w:sz="0" w:space="0" w:color="auto"/>
        <w:bottom w:val="none" w:sz="0" w:space="0" w:color="auto"/>
        <w:right w:val="none" w:sz="0" w:space="0" w:color="auto"/>
      </w:divBdr>
    </w:div>
    <w:div w:id="1555312239">
      <w:bodyDiv w:val="1"/>
      <w:marLeft w:val="0"/>
      <w:marRight w:val="0"/>
      <w:marTop w:val="0"/>
      <w:marBottom w:val="0"/>
      <w:divBdr>
        <w:top w:val="none" w:sz="0" w:space="0" w:color="auto"/>
        <w:left w:val="none" w:sz="0" w:space="0" w:color="auto"/>
        <w:bottom w:val="none" w:sz="0" w:space="0" w:color="auto"/>
        <w:right w:val="none" w:sz="0" w:space="0" w:color="auto"/>
      </w:divBdr>
    </w:div>
    <w:div w:id="1555776932">
      <w:bodyDiv w:val="1"/>
      <w:marLeft w:val="0"/>
      <w:marRight w:val="0"/>
      <w:marTop w:val="0"/>
      <w:marBottom w:val="0"/>
      <w:divBdr>
        <w:top w:val="none" w:sz="0" w:space="0" w:color="auto"/>
        <w:left w:val="none" w:sz="0" w:space="0" w:color="auto"/>
        <w:bottom w:val="none" w:sz="0" w:space="0" w:color="auto"/>
        <w:right w:val="none" w:sz="0" w:space="0" w:color="auto"/>
      </w:divBdr>
    </w:div>
    <w:div w:id="1571964022">
      <w:bodyDiv w:val="1"/>
      <w:marLeft w:val="0"/>
      <w:marRight w:val="0"/>
      <w:marTop w:val="0"/>
      <w:marBottom w:val="0"/>
      <w:divBdr>
        <w:top w:val="none" w:sz="0" w:space="0" w:color="auto"/>
        <w:left w:val="none" w:sz="0" w:space="0" w:color="auto"/>
        <w:bottom w:val="none" w:sz="0" w:space="0" w:color="auto"/>
        <w:right w:val="none" w:sz="0" w:space="0" w:color="auto"/>
      </w:divBdr>
    </w:div>
    <w:div w:id="1582173649">
      <w:bodyDiv w:val="1"/>
      <w:marLeft w:val="0"/>
      <w:marRight w:val="0"/>
      <w:marTop w:val="0"/>
      <w:marBottom w:val="0"/>
      <w:divBdr>
        <w:top w:val="none" w:sz="0" w:space="0" w:color="auto"/>
        <w:left w:val="none" w:sz="0" w:space="0" w:color="auto"/>
        <w:bottom w:val="none" w:sz="0" w:space="0" w:color="auto"/>
        <w:right w:val="none" w:sz="0" w:space="0" w:color="auto"/>
      </w:divBdr>
    </w:div>
    <w:div w:id="1669015103">
      <w:bodyDiv w:val="1"/>
      <w:marLeft w:val="0"/>
      <w:marRight w:val="0"/>
      <w:marTop w:val="0"/>
      <w:marBottom w:val="0"/>
      <w:divBdr>
        <w:top w:val="none" w:sz="0" w:space="0" w:color="auto"/>
        <w:left w:val="none" w:sz="0" w:space="0" w:color="auto"/>
        <w:bottom w:val="none" w:sz="0" w:space="0" w:color="auto"/>
        <w:right w:val="none" w:sz="0" w:space="0" w:color="auto"/>
      </w:divBdr>
    </w:div>
    <w:div w:id="1692416975">
      <w:bodyDiv w:val="1"/>
      <w:marLeft w:val="0"/>
      <w:marRight w:val="0"/>
      <w:marTop w:val="0"/>
      <w:marBottom w:val="0"/>
      <w:divBdr>
        <w:top w:val="none" w:sz="0" w:space="0" w:color="auto"/>
        <w:left w:val="none" w:sz="0" w:space="0" w:color="auto"/>
        <w:bottom w:val="none" w:sz="0" w:space="0" w:color="auto"/>
        <w:right w:val="none" w:sz="0" w:space="0" w:color="auto"/>
      </w:divBdr>
    </w:div>
    <w:div w:id="1713991153">
      <w:bodyDiv w:val="1"/>
      <w:marLeft w:val="0"/>
      <w:marRight w:val="0"/>
      <w:marTop w:val="0"/>
      <w:marBottom w:val="0"/>
      <w:divBdr>
        <w:top w:val="none" w:sz="0" w:space="0" w:color="auto"/>
        <w:left w:val="none" w:sz="0" w:space="0" w:color="auto"/>
        <w:bottom w:val="none" w:sz="0" w:space="0" w:color="auto"/>
        <w:right w:val="none" w:sz="0" w:space="0" w:color="auto"/>
      </w:divBdr>
    </w:div>
    <w:div w:id="1728600407">
      <w:bodyDiv w:val="1"/>
      <w:marLeft w:val="0"/>
      <w:marRight w:val="0"/>
      <w:marTop w:val="0"/>
      <w:marBottom w:val="0"/>
      <w:divBdr>
        <w:top w:val="none" w:sz="0" w:space="0" w:color="auto"/>
        <w:left w:val="none" w:sz="0" w:space="0" w:color="auto"/>
        <w:bottom w:val="none" w:sz="0" w:space="0" w:color="auto"/>
        <w:right w:val="none" w:sz="0" w:space="0" w:color="auto"/>
      </w:divBdr>
    </w:div>
    <w:div w:id="1813062158">
      <w:bodyDiv w:val="1"/>
      <w:marLeft w:val="0"/>
      <w:marRight w:val="0"/>
      <w:marTop w:val="0"/>
      <w:marBottom w:val="0"/>
      <w:divBdr>
        <w:top w:val="none" w:sz="0" w:space="0" w:color="auto"/>
        <w:left w:val="none" w:sz="0" w:space="0" w:color="auto"/>
        <w:bottom w:val="none" w:sz="0" w:space="0" w:color="auto"/>
        <w:right w:val="none" w:sz="0" w:space="0" w:color="auto"/>
      </w:divBdr>
    </w:div>
    <w:div w:id="1831946418">
      <w:bodyDiv w:val="1"/>
      <w:marLeft w:val="0"/>
      <w:marRight w:val="0"/>
      <w:marTop w:val="0"/>
      <w:marBottom w:val="0"/>
      <w:divBdr>
        <w:top w:val="none" w:sz="0" w:space="0" w:color="auto"/>
        <w:left w:val="none" w:sz="0" w:space="0" w:color="auto"/>
        <w:bottom w:val="none" w:sz="0" w:space="0" w:color="auto"/>
        <w:right w:val="none" w:sz="0" w:space="0" w:color="auto"/>
      </w:divBdr>
    </w:div>
    <w:div w:id="1844005188">
      <w:bodyDiv w:val="1"/>
      <w:marLeft w:val="0"/>
      <w:marRight w:val="0"/>
      <w:marTop w:val="0"/>
      <w:marBottom w:val="0"/>
      <w:divBdr>
        <w:top w:val="none" w:sz="0" w:space="0" w:color="auto"/>
        <w:left w:val="none" w:sz="0" w:space="0" w:color="auto"/>
        <w:bottom w:val="none" w:sz="0" w:space="0" w:color="auto"/>
        <w:right w:val="none" w:sz="0" w:space="0" w:color="auto"/>
      </w:divBdr>
    </w:div>
    <w:div w:id="1869954198">
      <w:bodyDiv w:val="1"/>
      <w:marLeft w:val="0"/>
      <w:marRight w:val="0"/>
      <w:marTop w:val="0"/>
      <w:marBottom w:val="0"/>
      <w:divBdr>
        <w:top w:val="none" w:sz="0" w:space="0" w:color="auto"/>
        <w:left w:val="none" w:sz="0" w:space="0" w:color="auto"/>
        <w:bottom w:val="none" w:sz="0" w:space="0" w:color="auto"/>
        <w:right w:val="none" w:sz="0" w:space="0" w:color="auto"/>
      </w:divBdr>
    </w:div>
    <w:div w:id="1873767070">
      <w:bodyDiv w:val="1"/>
      <w:marLeft w:val="0"/>
      <w:marRight w:val="0"/>
      <w:marTop w:val="0"/>
      <w:marBottom w:val="0"/>
      <w:divBdr>
        <w:top w:val="none" w:sz="0" w:space="0" w:color="auto"/>
        <w:left w:val="none" w:sz="0" w:space="0" w:color="auto"/>
        <w:bottom w:val="none" w:sz="0" w:space="0" w:color="auto"/>
        <w:right w:val="none" w:sz="0" w:space="0" w:color="auto"/>
      </w:divBdr>
    </w:div>
    <w:div w:id="1873805587">
      <w:bodyDiv w:val="1"/>
      <w:marLeft w:val="0"/>
      <w:marRight w:val="0"/>
      <w:marTop w:val="0"/>
      <w:marBottom w:val="0"/>
      <w:divBdr>
        <w:top w:val="none" w:sz="0" w:space="0" w:color="auto"/>
        <w:left w:val="none" w:sz="0" w:space="0" w:color="auto"/>
        <w:bottom w:val="none" w:sz="0" w:space="0" w:color="auto"/>
        <w:right w:val="none" w:sz="0" w:space="0" w:color="auto"/>
      </w:divBdr>
    </w:div>
    <w:div w:id="1882747761">
      <w:bodyDiv w:val="1"/>
      <w:marLeft w:val="0"/>
      <w:marRight w:val="0"/>
      <w:marTop w:val="0"/>
      <w:marBottom w:val="0"/>
      <w:divBdr>
        <w:top w:val="none" w:sz="0" w:space="0" w:color="auto"/>
        <w:left w:val="none" w:sz="0" w:space="0" w:color="auto"/>
        <w:bottom w:val="none" w:sz="0" w:space="0" w:color="auto"/>
        <w:right w:val="none" w:sz="0" w:space="0" w:color="auto"/>
      </w:divBdr>
    </w:div>
    <w:div w:id="1982533178">
      <w:bodyDiv w:val="1"/>
      <w:marLeft w:val="0"/>
      <w:marRight w:val="0"/>
      <w:marTop w:val="0"/>
      <w:marBottom w:val="0"/>
      <w:divBdr>
        <w:top w:val="none" w:sz="0" w:space="0" w:color="auto"/>
        <w:left w:val="none" w:sz="0" w:space="0" w:color="auto"/>
        <w:bottom w:val="none" w:sz="0" w:space="0" w:color="auto"/>
        <w:right w:val="none" w:sz="0" w:space="0" w:color="auto"/>
      </w:divBdr>
    </w:div>
    <w:div w:id="2014795578">
      <w:bodyDiv w:val="1"/>
      <w:marLeft w:val="0"/>
      <w:marRight w:val="0"/>
      <w:marTop w:val="0"/>
      <w:marBottom w:val="0"/>
      <w:divBdr>
        <w:top w:val="none" w:sz="0" w:space="0" w:color="auto"/>
        <w:left w:val="none" w:sz="0" w:space="0" w:color="auto"/>
        <w:bottom w:val="none" w:sz="0" w:space="0" w:color="auto"/>
        <w:right w:val="none" w:sz="0" w:space="0" w:color="auto"/>
      </w:divBdr>
    </w:div>
    <w:div w:id="2057464344">
      <w:bodyDiv w:val="1"/>
      <w:marLeft w:val="0"/>
      <w:marRight w:val="0"/>
      <w:marTop w:val="0"/>
      <w:marBottom w:val="0"/>
      <w:divBdr>
        <w:top w:val="none" w:sz="0" w:space="0" w:color="auto"/>
        <w:left w:val="none" w:sz="0" w:space="0" w:color="auto"/>
        <w:bottom w:val="none" w:sz="0" w:space="0" w:color="auto"/>
        <w:right w:val="none" w:sz="0" w:space="0" w:color="auto"/>
      </w:divBdr>
    </w:div>
    <w:div w:id="2061005702">
      <w:bodyDiv w:val="1"/>
      <w:marLeft w:val="0"/>
      <w:marRight w:val="0"/>
      <w:marTop w:val="0"/>
      <w:marBottom w:val="0"/>
      <w:divBdr>
        <w:top w:val="none" w:sz="0" w:space="0" w:color="auto"/>
        <w:left w:val="none" w:sz="0" w:space="0" w:color="auto"/>
        <w:bottom w:val="none" w:sz="0" w:space="0" w:color="auto"/>
        <w:right w:val="none" w:sz="0" w:space="0" w:color="auto"/>
      </w:divBdr>
    </w:div>
    <w:div w:id="2073186829">
      <w:bodyDiv w:val="1"/>
      <w:marLeft w:val="0"/>
      <w:marRight w:val="0"/>
      <w:marTop w:val="0"/>
      <w:marBottom w:val="0"/>
      <w:divBdr>
        <w:top w:val="none" w:sz="0" w:space="0" w:color="auto"/>
        <w:left w:val="none" w:sz="0" w:space="0" w:color="auto"/>
        <w:bottom w:val="none" w:sz="0" w:space="0" w:color="auto"/>
        <w:right w:val="none" w:sz="0" w:space="0" w:color="auto"/>
      </w:divBdr>
    </w:div>
    <w:div w:id="21195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worldweatheronline.com/v2/weather-averages.aspx?q=Nairobi,%20Kenya"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cdm.unfccc.int/DNA/fNRB/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kenyabiogas.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info@kbp.co.k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raphpad.com/quickcalcs/Grubbs1.cfm" TargetMode="External"/><Relationship Id="rId3" Type="http://schemas.openxmlformats.org/officeDocument/2006/relationships/hyperlink" Target="https://data.worldbank.org/indicator/EG.ELC.ACCS.ZS?end=2014&amp;start=2014&amp;view=bar" TargetMode="External"/><Relationship Id="rId7" Type="http://schemas.openxmlformats.org/officeDocument/2006/relationships/hyperlink" Target="http://www.itl.nist.gov/div898/handbook/eda/section3/eda35h1.htm" TargetMode="External"/><Relationship Id="rId2" Type="http://schemas.openxmlformats.org/officeDocument/2006/relationships/hyperlink" Target="https://data.worldbank.org/indicator/SP.POP.TOTL?locations=KE" TargetMode="External"/><Relationship Id="rId1" Type="http://schemas.openxmlformats.org/officeDocument/2006/relationships/hyperlink" Target="https://www.cia.gov/library/publications/the-world-factbook/geos/ke.html" TargetMode="External"/><Relationship Id="rId6" Type="http://schemas.openxmlformats.org/officeDocument/2006/relationships/hyperlink" Target="https://zsbidi.en.ecplaza.net/products/table-type-stainless-steel-single-burner_3889154" TargetMode="External"/><Relationship Id="rId5" Type="http://schemas.openxmlformats.org/officeDocument/2006/relationships/hyperlink" Target="https://zsbidi.en.ecplaza.net/products/table-type-stainless-steel-single-burner_3889154" TargetMode="External"/><Relationship Id="rId4" Type="http://schemas.openxmlformats.org/officeDocument/2006/relationships/hyperlink" Target="http://www.inforse.org/Case/Case-Kenya-Afforestation.php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DM Document" ma:contentTypeID="0x01010021E3A0D5DC16442DB7F6DD5FB8E88C5EFF00164FC08B8E315943890989ED1EDBD45D" ma:contentTypeVersion="14" ma:contentTypeDescription="Create a new SDM document." ma:contentTypeScope="" ma:versionID="ff8e0046fafba3fe3bfe44c136c5630b">
  <xsd:schema xmlns:xsd="http://www.w3.org/2001/XMLSchema" xmlns:xs="http://www.w3.org/2001/XMLSchema" xmlns:p="http://schemas.microsoft.com/office/2006/metadata/properties" xmlns:ns1="http://schemas.microsoft.com/sharepoint/v3" xmlns:ns2="cc35d066-de8a-47e1-bb7d-ee9255990fcc" targetNamespace="http://schemas.microsoft.com/office/2006/metadata/properties" ma:root="true" ma:fieldsID="7461514b10e5c00ee06bae0eb8f53222" ns1:_="" ns2:_="">
    <xsd:import namespace="http://schemas.microsoft.com/sharepoint/v3"/>
    <xsd:import namespace="cc35d066-de8a-47e1-bb7d-ee9255990fcc"/>
    <xsd:element name="properties">
      <xsd:complexType>
        <xsd:sequence>
          <xsd:element name="documentManagement">
            <xsd:complexType>
              <xsd:all>
                <xsd:element ref="ns1:UNFC3SDMVersionNumber" minOccurs="0"/>
                <xsd:element ref="ns1:UNFC3SDMResourceTypeTaxHTField0" minOccurs="0"/>
                <xsd:element ref="ns1:UNFC3SDMSubFunctionTaxHTField0" minOccurs="0"/>
                <xsd:element ref="ns1:UNFC3SDMBusinessActivityTaxHTField0" minOccurs="0"/>
                <xsd:element ref="ns1:UNFC3SDMReferenceNumberTaxHTField0" minOccurs="0"/>
                <xsd:element ref="ns1:UNFC3SDMConstitutedBodyTaxHTField0" minOccurs="0"/>
                <xsd:element ref="ns1:UNFC3SDMDecisionClassTaxHTField0" minOccurs="0"/>
                <xsd:element ref="ns1:UNFC3SDMKeywordsTaxHTField0" minOccurs="0"/>
                <xsd:element ref="ns2:Group" minOccurs="0"/>
                <xsd:element ref="ns2:Sub_x002d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NFC3SDMVersionNumber" ma:index="4" nillable="true" ma:displayName="Version Number" ma:description="The version of this document" ma:hidden="true" ma:internalName="UNFC3SDMVersionNumber" ma:readOnly="false">
      <xsd:simpleType>
        <xsd:restriction base="dms:Text"/>
      </xsd:simpleType>
    </xsd:element>
    <xsd:element name="UNFC3SDMResourceTypeTaxHTField0" ma:index="11" nillable="true" ma:taxonomy="true" ma:internalName="UNFC3SDMResourceTypeTaxHTField0" ma:taxonomyFieldName="UNFC3SDMResourceType" ma:displayName="Resource Type" ma:readOnly="false" ma:fieldId="{2a0277e2-9b89-4ac2-8049-fc26131413de}" ma:sspId="4a3284a9-394c-4f2a-aa32-7e654ba669e8" ma:termSetId="58095849-24eb-4758-80eb-afdcdb2515ed" ma:anchorId="00000000-0000-0000-0000-000000000000" ma:open="false" ma:isKeyword="false">
      <xsd:complexType>
        <xsd:sequence>
          <xsd:element ref="pc:Terms" minOccurs="0" maxOccurs="1"/>
        </xsd:sequence>
      </xsd:complexType>
    </xsd:element>
    <xsd:element name="UNFC3SDMSubFunctionTaxHTField0" ma:index="13" nillable="true" ma:taxonomy="true" ma:internalName="UNFC3SDMSubFunctionTaxHTField0" ma:taxonomyFieldName="UNFC3SDMSubFunction" ma:displayName="SDM Sub-Function" ma:readOnly="false" ma:fieldId="{79d68f1c-dfe4-491f-972b-65797b2f22f8}" ma:sspId="4a3284a9-394c-4f2a-aa32-7e654ba669e8" ma:termSetId="13f32213-31a4-4402-ba73-e9c136e85d87" ma:anchorId="00000000-0000-0000-0000-000000000000" ma:open="false" ma:isKeyword="false">
      <xsd:complexType>
        <xsd:sequence>
          <xsd:element ref="pc:Terms" minOccurs="0" maxOccurs="1"/>
        </xsd:sequence>
      </xsd:complexType>
    </xsd:element>
    <xsd:element name="UNFC3SDMBusinessActivityTaxHTField0" ma:index="14" nillable="true" ma:taxonomy="true" ma:internalName="UNFC3SDMBusinessActivityTaxHTField0" ma:taxonomyFieldName="UNFC3SDMBusinessActivity" ma:displayName="SDM Business Activity" ma:readOnly="false" ma:fieldId="{5223d666-9f1d-4766-8360-bdd0305217d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FC3SDMReferenceNumberTaxHTField0" ma:index="16" nillable="true" ma:taxonomy="true" ma:internalName="UNFC3SDMReferenceNumberTaxHTField0" ma:taxonomyFieldName="UNFC3SDMReferenceNumber" ma:displayName="Reference Number" ma:readOnly="false" ma:fieldId="{a5366c95-8b35-4bcf-99dc-911e44bcf104}" ma:sspId="4a3284a9-394c-4f2a-aa32-7e654ba669e8" ma:termSetId="8c54f90e-6741-4603-a7bf-031c47f42d94" ma:anchorId="00000000-0000-0000-0000-000000000000" ma:open="false" ma:isKeyword="false">
      <xsd:complexType>
        <xsd:sequence>
          <xsd:element ref="pc:Terms" minOccurs="0" maxOccurs="1"/>
        </xsd:sequence>
      </xsd:complexType>
    </xsd:element>
    <xsd:element name="UNFC3SDMConstitutedBodyTaxHTField0" ma:index="19" nillable="true" ma:taxonomy="true" ma:internalName="UNFC3SDMConstitutedBodyTaxHTField0" ma:taxonomyFieldName="UNFC3SDMConstitutedBody" ma:displayName="Constituted Body" ma:readOnly="false" ma:fieldId="{cf1e1a08-f0e0-4a3a-a1a0-070b2dbb4e6c}" ma:taxonomyMulti="true" ma:sspId="4a3284a9-394c-4f2a-aa32-7e654ba669e8" ma:termSetId="facf25a0-492e-404f-bead-98ae55226609" ma:anchorId="00000000-0000-0000-0000-000000000000" ma:open="false" ma:isKeyword="false">
      <xsd:complexType>
        <xsd:sequence>
          <xsd:element ref="pc:Terms" minOccurs="0" maxOccurs="1"/>
        </xsd:sequence>
      </xsd:complexType>
    </xsd:element>
    <xsd:element name="UNFC3SDMDecisionClassTaxHTField0" ma:index="20" nillable="true" ma:taxonomy="true" ma:internalName="UNFC3SDMDecisionClassTaxHTField0" ma:taxonomyFieldName="UNFC3SDMDecisionClass" ma:displayName="Decision Class" ma:readOnly="false" ma:fieldId="{20a61a95-4f54-4735-9075-ee399c31dfd8}" ma:taxonomyMulti="true" ma:sspId="4a3284a9-394c-4f2a-aa32-7e654ba669e8" ma:termSetId="765111f5-7432-49fc-825e-02411ec368ca" ma:anchorId="00000000-0000-0000-0000-000000000000" ma:open="false" ma:isKeyword="false">
      <xsd:complexType>
        <xsd:sequence>
          <xsd:element ref="pc:Terms" minOccurs="0" maxOccurs="1"/>
        </xsd:sequence>
      </xsd:complexType>
    </xsd:element>
    <xsd:element name="UNFC3SDMKeywordsTaxHTField0" ma:index="22" nillable="true" ma:taxonomy="true" ma:internalName="UNFC3SDMKeywordsTaxHTField0" ma:taxonomyFieldName="UNFC3SDMKeywords" ma:displayName="Keywords" ma:fieldId="{08b05182-21de-4a6d-9b5a-07f7c65cc793}" ma:taxonomyMulti="true" ma:sspId="4a3284a9-394c-4f2a-aa32-7e654ba669e8" ma:termSetId="673cb756-f606-47ca-9880-adbb9d3729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35d066-de8a-47e1-bb7d-ee9255990fcc" elementFormDefault="qualified">
    <xsd:import namespace="http://schemas.microsoft.com/office/2006/documentManagement/types"/>
    <xsd:import namespace="http://schemas.microsoft.com/office/infopath/2007/PartnerControls"/>
    <xsd:element name="Group" ma:index="23" nillable="true" ma:displayName="Group" ma:default="." ma:format="Dropdown" ma:internalName="Group">
      <xsd:simpleType>
        <xsd:restriction base="dms:Choice">
          <xsd:enumeration value="."/>
          <xsd:enumeration value="Background: Guidance from the EB"/>
          <xsd:enumeration value="Issues already identified"/>
          <xsd:enumeration value="Working drafts for teams"/>
          <xsd:enumeration value="Meeting documents"/>
          <xsd:enumeration value="Working drafts consolidated"/>
          <xsd:enumeration value="Working drafts - PA/PoA (old)"/>
          <xsd:enumeration value="Working drafts - PA/PoA"/>
          <xsd:enumeration value="Revision of other regulatory documents"/>
          <xsd:enumeration value="Forms"/>
          <xsd:enumeration value="Checklists"/>
        </xsd:restriction>
      </xsd:simpleType>
    </xsd:element>
    <xsd:element name="Sub_x002d_Group" ma:index="24" nillable="true" ma:displayName="Sub-Group" ma:format="Dropdown" ma:internalName="Sub_x002d_Group">
      <xsd:simpleType>
        <xsd:restriction base="dms:Choice">
          <xsd:enumeration value="."/>
          <xsd:enumeration value="1. PDD/PoA-DD/CPA-DD forms"/>
          <xsd:enumeration value="2. Registration forms"/>
          <xsd:enumeration value="3. Post-registration change forms"/>
          <xsd:enumeration value="4. Monitoring report forms"/>
          <xsd:enumeration value="5. Issuance forms"/>
          <xsd:enumeration value="6. Renewal of crediting period forms"/>
          <xsd:enumeration value="7. Validation/Verification report forms"/>
          <xsd:enumeration value="8. Other forms"/>
          <xsd:enumeration value="9. Ol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UNFC3SDMKeywordsTaxHTField0 xmlns="http://schemas.microsoft.com/sharepoint/v3">
      <Terms xmlns="http://schemas.microsoft.com/office/infopath/2007/PartnerControls">
        <TermInfo xmlns="http://schemas.microsoft.com/office/infopath/2007/PartnerControls">
          <TermName xmlns="http://schemas.microsoft.com/office/infopath/2007/PartnerControls">component programme activity</TermName>
          <TermId xmlns="http://schemas.microsoft.com/office/infopath/2007/PartnerControls">9b22c165-cb20-4692-958e-ba77f472ada3</TermId>
        </TermInfo>
      </Terms>
    </UNFC3SDMKeywordsTaxHTField0>
    <Group xmlns="cc35d066-de8a-47e1-bb7d-ee9255990fcc">Forms</Group>
    <UNFC3SDMBusinessActivityTaxHTField0 xmlns="http://schemas.microsoft.com/sharepoint/v3">
      <Terms xmlns="http://schemas.microsoft.com/office/infopath/2007/PartnerControls"/>
    </UNFC3SDMBusinessActivityTaxHTField0>
    <Sub_x002d_Group xmlns="cc35d066-de8a-47e1-bb7d-ee9255990fcc">1. PDD/PoA-DD/CPA-DD forms</Sub_x002d_Group>
    <UNFC3SDMConstitutedBodyTaxHTField0 xmlns="http://schemas.microsoft.com/sharepoint/v3">
      <Terms xmlns="http://schemas.microsoft.com/office/infopath/2007/PartnerControls"/>
    </UNFC3SDMConstitutedBodyTaxHTField0>
    <UNFC3SDMSubFunctionTaxHTField0 xmlns="http://schemas.microsoft.com/sharepoint/v3">
      <Terms xmlns="http://schemas.microsoft.com/office/infopath/2007/PartnerControls"/>
    </UNFC3SDMSubFunctionTaxHTField0>
    <UNFC3SDMDecisionClassTaxHTField0 xmlns="http://schemas.microsoft.com/sharepoint/v3">
      <Terms xmlns="http://schemas.microsoft.com/office/infopath/2007/PartnerControls"/>
    </UNFC3SDMDecisionClassTaxHTField0>
    <UNFC3SDMVersionNumber xmlns="http://schemas.microsoft.com/sharepoint/v3" xsi:nil="true"/>
    <UNFC3SDMResourceTypeTaxHTField0 xmlns="http://schemas.microsoft.com/sharepoint/v3">
      <Terms xmlns="http://schemas.microsoft.com/office/infopath/2007/PartnerControls"/>
    </UNFC3SDMResourceTypeTaxHTField0>
    <UNFC3SDMReferenceNumberTaxHTField0 xmlns="http://schemas.microsoft.com/sharepoint/v3">
      <Terms xmlns="http://schemas.microsoft.com/office/infopath/2007/PartnerControls"/>
    </UNFC3SDMReferenceNumber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0A14-7D59-428F-A8C5-6B2318B119E3}">
  <ds:schemaRefs>
    <ds:schemaRef ds:uri="http://schemas.microsoft.com/sharepoint/v3/contenttype/forms"/>
  </ds:schemaRefs>
</ds:datastoreItem>
</file>

<file path=customXml/itemProps2.xml><?xml version="1.0" encoding="utf-8"?>
<ds:datastoreItem xmlns:ds="http://schemas.openxmlformats.org/officeDocument/2006/customXml" ds:itemID="{1BB10466-629E-44AF-AB0D-B79F137E8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35d066-de8a-47e1-bb7d-ee925599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A28F7-0E84-40C9-A7FA-F740213D2CF2}">
  <ds:schemaRefs>
    <ds:schemaRef ds:uri="http://schemas.microsoft.com/office/2006/metadata/longProperties"/>
  </ds:schemaRefs>
</ds:datastoreItem>
</file>

<file path=customXml/itemProps4.xml><?xml version="1.0" encoding="utf-8"?>
<ds:datastoreItem xmlns:ds="http://schemas.openxmlformats.org/officeDocument/2006/customXml" ds:itemID="{EFDAA170-D6EC-4B22-81AE-5CCF60D474CD}">
  <ds:schemaRefs>
    <ds:schemaRef ds:uri="http://schemas.microsoft.com/office/2006/metadata/properties"/>
    <ds:schemaRef ds:uri="http://schemas.microsoft.com/office/infopath/2007/PartnerControls"/>
    <ds:schemaRef ds:uri="http://schemas.microsoft.com/sharepoint/v3"/>
    <ds:schemaRef ds:uri="cc35d066-de8a-47e1-bb7d-ee9255990fcc"/>
  </ds:schemaRefs>
</ds:datastoreItem>
</file>

<file path=customXml/itemProps5.xml><?xml version="1.0" encoding="utf-8"?>
<ds:datastoreItem xmlns:ds="http://schemas.openxmlformats.org/officeDocument/2006/customXml" ds:itemID="{F1159A17-97FF-824F-872B-AB84F649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15571</Words>
  <Characters>88759</Characters>
  <Application>Microsoft Office Word</Application>
  <DocSecurity>0</DocSecurity>
  <Lines>739</Lines>
  <Paragraphs>208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CDM-CPA-DD-FORM</vt:lpstr>
      <vt:lpstr>CDM-CPA-DD-FORM</vt:lpstr>
    </vt:vector>
  </TitlesOfParts>
  <Company>UNFCCC</Company>
  <LinksUpToDate>false</LinksUpToDate>
  <CharactersWithSpaces>104122</CharactersWithSpaces>
  <SharedDoc>false</SharedDoc>
  <HLinks>
    <vt:vector size="48" baseType="variant">
      <vt:variant>
        <vt:i4>6226010</vt:i4>
      </vt:variant>
      <vt:variant>
        <vt:i4>20</vt:i4>
      </vt:variant>
      <vt:variant>
        <vt:i4>0</vt:i4>
      </vt:variant>
      <vt:variant>
        <vt:i4>5</vt:i4>
      </vt:variant>
      <vt:variant>
        <vt:lpwstr>http://www.worldweatheronline.com/v2/weather-averages.aspx?q=Nairobi,%20Kenya</vt:lpwstr>
      </vt:variant>
      <vt:variant>
        <vt:lpwstr/>
      </vt:variant>
      <vt:variant>
        <vt:i4>458847</vt:i4>
      </vt:variant>
      <vt:variant>
        <vt:i4>17</vt:i4>
      </vt:variant>
      <vt:variant>
        <vt:i4>0</vt:i4>
      </vt:variant>
      <vt:variant>
        <vt:i4>5</vt:i4>
      </vt:variant>
      <vt:variant>
        <vt:lpwstr>http://cdm.unfccc.int/DNA/fNRB/index.html</vt:lpwstr>
      </vt:variant>
      <vt:variant>
        <vt:lpwstr/>
      </vt:variant>
      <vt:variant>
        <vt:i4>7274557</vt:i4>
      </vt:variant>
      <vt:variant>
        <vt:i4>6</vt:i4>
      </vt:variant>
      <vt:variant>
        <vt:i4>0</vt:i4>
      </vt:variant>
      <vt:variant>
        <vt:i4>5</vt:i4>
      </vt:variant>
      <vt:variant>
        <vt:lpwstr>http://www.graphpad.com/quickcalcs/Grubbs1.cfm</vt:lpwstr>
      </vt:variant>
      <vt:variant>
        <vt:lpwstr/>
      </vt:variant>
      <vt:variant>
        <vt:i4>1245274</vt:i4>
      </vt:variant>
      <vt:variant>
        <vt:i4>3</vt:i4>
      </vt:variant>
      <vt:variant>
        <vt:i4>0</vt:i4>
      </vt:variant>
      <vt:variant>
        <vt:i4>5</vt:i4>
      </vt:variant>
      <vt:variant>
        <vt:lpwstr>http://www.itl.nist.gov/div898/handbook/eda/section3/eda35h1.htm</vt:lpwstr>
      </vt:variant>
      <vt:variant>
        <vt:lpwstr/>
      </vt:variant>
      <vt:variant>
        <vt:i4>458826</vt:i4>
      </vt:variant>
      <vt:variant>
        <vt:i4>0</vt:i4>
      </vt:variant>
      <vt:variant>
        <vt:i4>0</vt:i4>
      </vt:variant>
      <vt:variant>
        <vt:i4>5</vt:i4>
      </vt:variant>
      <vt:variant>
        <vt:lpwstr>https://www.cia.gov/library/publications/the-world-factbook/geos/ke.html</vt:lpwstr>
      </vt:variant>
      <vt:variant>
        <vt:lpwstr/>
      </vt:variant>
      <vt:variant>
        <vt:i4>589919</vt:i4>
      </vt:variant>
      <vt:variant>
        <vt:i4>6</vt:i4>
      </vt:variant>
      <vt:variant>
        <vt:i4>0</vt:i4>
      </vt:variant>
      <vt:variant>
        <vt:i4>5</vt:i4>
      </vt:variant>
      <vt:variant>
        <vt:lpwstr>https://data.worldbank.org/indicator/SP.POP.TOTL?locations=KE</vt:lpwstr>
      </vt:variant>
      <vt:variant>
        <vt:lpwstr/>
      </vt:variant>
      <vt:variant>
        <vt:i4>6619196</vt:i4>
      </vt:variant>
      <vt:variant>
        <vt:i4>3</vt:i4>
      </vt:variant>
      <vt:variant>
        <vt:i4>0</vt:i4>
      </vt:variant>
      <vt:variant>
        <vt:i4>5</vt:i4>
      </vt:variant>
      <vt:variant>
        <vt:lpwstr>https://www.goldstandard.org/sites/default/files/v2.2_annex-d_0.doc</vt:lpwstr>
      </vt:variant>
      <vt:variant>
        <vt:lpwstr/>
      </vt:variant>
      <vt:variant>
        <vt:i4>1048588</vt:i4>
      </vt:variant>
      <vt:variant>
        <vt:i4>0</vt:i4>
      </vt:variant>
      <vt:variant>
        <vt:i4>0</vt:i4>
      </vt:variant>
      <vt:variant>
        <vt:i4>5</vt:i4>
      </vt:variant>
      <vt:variant>
        <vt:lpwstr>http://cleancookstoves.org/country-profiles/focus-countries/4-kenya.html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CDM-CPA-DD-FORM</dc:title>
  <dc:subject>Regulatory</dc:subject>
  <dc:creator>UNFCCC</dc:creator>
  <cp:keywords>Form, DD, CPA</cp:keywords>
  <dc:description>EB66, 13 March 2012. previous/VVM version see PoA_form03</dc:description>
  <cp:lastModifiedBy>Hilda Galt</cp:lastModifiedBy>
  <cp:revision>5</cp:revision>
  <cp:lastPrinted>2017-10-17T14:29:00Z</cp:lastPrinted>
  <dcterms:created xsi:type="dcterms:W3CDTF">2018-02-08T09:49:00Z</dcterms:created>
  <dcterms:modified xsi:type="dcterms:W3CDTF">2018-02-08T10:43:00Z</dcterms:modified>
  <cp:category>Registration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NoteNo">
    <vt:i4>1</vt:i4>
  </property>
  <property fmtid="{D5CDD505-2E9C-101B-9397-08002B2CF9AE}" pid="3" name="footNoteLetter">
    <vt:lpwstr>1</vt:lpwstr>
  </property>
  <property fmtid="{D5CDD505-2E9C-101B-9397-08002B2CF9AE}" pid="4" name="docType">
    <vt:lpwstr>Draft</vt:lpwstr>
  </property>
  <property fmtid="{D5CDD505-2E9C-101B-9397-08002B2CF9AE}" pid="5" name="UNFC3SDMKeywords">
    <vt:lpwstr>163;#component programme activity|9b22c165-cb20-4692-958e-ba77f472ada3</vt:lpwstr>
  </property>
  <property fmtid="{D5CDD505-2E9C-101B-9397-08002B2CF9AE}" pid="6" name="UNFC3SDMReferenceNumber">
    <vt:lpwstr/>
  </property>
  <property fmtid="{D5CDD505-2E9C-101B-9397-08002B2CF9AE}" pid="7" name="UNFC3SDMSubFunction">
    <vt:lpwstr/>
  </property>
  <property fmtid="{D5CDD505-2E9C-101B-9397-08002B2CF9AE}" pid="8" name="UNFC3SDMResourceType">
    <vt:lpwstr/>
  </property>
  <property fmtid="{D5CDD505-2E9C-101B-9397-08002B2CF9AE}" pid="9" name="UNFC3SDMConstitutedBody">
    <vt:lpwstr/>
  </property>
  <property fmtid="{D5CDD505-2E9C-101B-9397-08002B2CF9AE}" pid="10" name="UNFC3SDMDecisionClass">
    <vt:lpwstr/>
  </property>
  <property fmtid="{D5CDD505-2E9C-101B-9397-08002B2CF9AE}" pid="11" name="UNFC3SDMBusinessActivity">
    <vt:lpwstr/>
  </property>
  <property fmtid="{D5CDD505-2E9C-101B-9397-08002B2CF9AE}" pid="12" name="ContentTypeId">
    <vt:lpwstr>0x01010021E3A0D5DC16442DB7F6DD5FB8E88C5EFF00164FC08B8E315943890989ED1EDBD45D</vt:lpwstr>
  </property>
</Properties>
</file>